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F23E" w14:textId="02906901" w:rsidR="00CB6640" w:rsidRPr="005B11B5" w:rsidRDefault="007D57DC" w:rsidP="00CB6640">
      <w:pPr>
        <w:spacing w:after="0" w:line="360" w:lineRule="auto"/>
        <w:jc w:val="right"/>
        <w:rPr>
          <w:rFonts w:ascii="David" w:hAnsi="David" w:cs="David"/>
          <w:sz w:val="24"/>
          <w:szCs w:val="24"/>
          <w:rtl/>
        </w:rPr>
      </w:pPr>
      <w:r w:rsidRPr="00672B8E">
        <w:rPr>
          <w:rFonts w:ascii="David" w:hAnsi="David" w:cs="David" w:hint="eastAsia"/>
          <w:sz w:val="24"/>
          <w:szCs w:val="24"/>
          <w:highlight w:val="yellow"/>
          <w:rtl/>
        </w:rPr>
        <w:t>‏</w:t>
      </w:r>
      <w:r w:rsidR="00CB6640">
        <w:rPr>
          <w:rFonts w:ascii="David" w:hAnsi="David" w:cs="David" w:hint="cs"/>
          <w:sz w:val="24"/>
          <w:szCs w:val="24"/>
          <w:rtl/>
        </w:rPr>
        <w:t>23 דצמבר 2020,</w:t>
      </w:r>
      <w:r w:rsidR="00CB6640" w:rsidRPr="005B11B5">
        <w:rPr>
          <w:rFonts w:ascii="David" w:hAnsi="David" w:cs="David"/>
          <w:sz w:val="24"/>
          <w:szCs w:val="24"/>
          <w:rtl/>
        </w:rPr>
        <w:t xml:space="preserve"> </w:t>
      </w:r>
      <w:r w:rsidR="00CB6640" w:rsidRPr="005B11B5">
        <w:rPr>
          <w:rFonts w:ascii="David" w:hAnsi="David" w:cs="David"/>
          <w:sz w:val="24"/>
          <w:szCs w:val="24"/>
          <w:rtl/>
        </w:rPr>
        <w:fldChar w:fldCharType="begin"/>
      </w:r>
      <w:r w:rsidR="00CB6640" w:rsidRPr="005B11B5">
        <w:rPr>
          <w:rFonts w:ascii="David" w:hAnsi="David" w:cs="David"/>
          <w:sz w:val="24"/>
          <w:szCs w:val="24"/>
          <w:rtl/>
        </w:rPr>
        <w:instrText xml:space="preserve"> </w:instrText>
      </w:r>
      <w:r w:rsidR="00CB6640" w:rsidRPr="005B11B5">
        <w:rPr>
          <w:rFonts w:ascii="David" w:hAnsi="David" w:cs="David"/>
          <w:sz w:val="24"/>
          <w:szCs w:val="24"/>
        </w:rPr>
        <w:instrText>DATE</w:instrText>
      </w:r>
      <w:r w:rsidR="00CB6640" w:rsidRPr="005B11B5">
        <w:rPr>
          <w:rFonts w:ascii="David" w:hAnsi="David" w:cs="David"/>
          <w:sz w:val="24"/>
          <w:szCs w:val="24"/>
          <w:rtl/>
        </w:rPr>
        <w:instrText xml:space="preserve"> \@ "</w:instrText>
      </w:r>
      <w:r w:rsidR="00CB6640" w:rsidRPr="005B11B5">
        <w:rPr>
          <w:rFonts w:ascii="David" w:hAnsi="David" w:cs="David"/>
          <w:sz w:val="24"/>
          <w:szCs w:val="24"/>
        </w:rPr>
        <w:instrText>dd MMMM yyyy" \h</w:instrText>
      </w:r>
      <w:r w:rsidR="00CB6640" w:rsidRPr="005B11B5">
        <w:rPr>
          <w:rFonts w:ascii="David" w:hAnsi="David" w:cs="David"/>
          <w:sz w:val="24"/>
          <w:szCs w:val="24"/>
          <w:rtl/>
        </w:rPr>
        <w:instrText xml:space="preserve"> </w:instrText>
      </w:r>
      <w:r w:rsidR="00CB6640" w:rsidRPr="005B11B5">
        <w:rPr>
          <w:rFonts w:ascii="David" w:hAnsi="David" w:cs="David"/>
          <w:sz w:val="24"/>
          <w:szCs w:val="24"/>
          <w:rtl/>
        </w:rPr>
        <w:fldChar w:fldCharType="separate"/>
      </w:r>
      <w:r w:rsidR="00563046">
        <w:rPr>
          <w:rFonts w:ascii="David" w:hAnsi="David" w:cs="David"/>
          <w:noProof/>
          <w:sz w:val="24"/>
          <w:szCs w:val="24"/>
          <w:rtl/>
        </w:rPr>
        <w:t>‏כ"ז אייר תשפ"ג</w:t>
      </w:r>
      <w:r w:rsidR="00CB6640" w:rsidRPr="005B11B5">
        <w:rPr>
          <w:rFonts w:ascii="David" w:hAnsi="David" w:cs="David"/>
          <w:sz w:val="24"/>
          <w:szCs w:val="24"/>
          <w:rtl/>
        </w:rPr>
        <w:fldChar w:fldCharType="end"/>
      </w:r>
    </w:p>
    <w:p w14:paraId="31D119AE" w14:textId="77777777" w:rsidR="00107D82" w:rsidRDefault="00380FFE" w:rsidP="00380FFE">
      <w:pPr>
        <w:spacing w:before="240" w:line="360" w:lineRule="auto"/>
        <w:rPr>
          <w:rFonts w:ascii="David" w:hAnsi="David" w:cs="David"/>
          <w:sz w:val="24"/>
          <w:szCs w:val="24"/>
          <w:rtl/>
        </w:rPr>
      </w:pPr>
      <w:r>
        <w:rPr>
          <w:rFonts w:ascii="David" w:hAnsi="David" w:cs="David" w:hint="cs"/>
          <w:sz w:val="24"/>
          <w:szCs w:val="24"/>
          <w:rtl/>
        </w:rPr>
        <w:t xml:space="preserve">  </w:t>
      </w:r>
      <w:r w:rsidR="00107D82">
        <w:rPr>
          <w:rFonts w:ascii="David" w:hAnsi="David" w:cs="David" w:hint="cs"/>
          <w:sz w:val="24"/>
          <w:szCs w:val="24"/>
          <w:rtl/>
        </w:rPr>
        <w:t>לכבוד</w:t>
      </w:r>
    </w:p>
    <w:tbl>
      <w:tblPr>
        <w:tblStyle w:val="a7"/>
        <w:bidiVisual/>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4300"/>
      </w:tblGrid>
      <w:tr w:rsidR="006B6497" w:rsidRPr="00A0328F" w14:paraId="47257A09" w14:textId="1759EB38" w:rsidTr="006B6497">
        <w:tc>
          <w:tcPr>
            <w:tcW w:w="2509" w:type="dxa"/>
          </w:tcPr>
          <w:p w14:paraId="3DD2E3EE" w14:textId="43EA3DCF" w:rsidR="006B6497" w:rsidRDefault="006B6497" w:rsidP="00AA4D2B">
            <w:pPr>
              <w:spacing w:after="0" w:line="360" w:lineRule="auto"/>
              <w:rPr>
                <w:rFonts w:ascii="David" w:hAnsi="David" w:cs="David"/>
                <w:b/>
                <w:bCs/>
                <w:sz w:val="24"/>
                <w:szCs w:val="24"/>
                <w:rtl/>
              </w:rPr>
            </w:pPr>
            <w:r>
              <w:rPr>
                <w:rFonts w:ascii="David" w:hAnsi="David" w:cs="David" w:hint="cs"/>
                <w:b/>
                <w:bCs/>
                <w:sz w:val="24"/>
                <w:szCs w:val="24"/>
                <w:rtl/>
              </w:rPr>
              <w:t>מר יצחק הרצוג</w:t>
            </w:r>
          </w:p>
          <w:p w14:paraId="448C3C77" w14:textId="75284CE6" w:rsidR="006B6497" w:rsidRDefault="006B6497" w:rsidP="00AA4D2B">
            <w:pPr>
              <w:spacing w:after="0" w:line="360" w:lineRule="auto"/>
              <w:rPr>
                <w:rFonts w:ascii="David" w:hAnsi="David" w:cs="David"/>
                <w:sz w:val="24"/>
                <w:szCs w:val="24"/>
                <w:rtl/>
              </w:rPr>
            </w:pPr>
            <w:r>
              <w:rPr>
                <w:rFonts w:ascii="David" w:hAnsi="David" w:cs="David" w:hint="cs"/>
                <w:sz w:val="24"/>
                <w:szCs w:val="24"/>
                <w:rtl/>
              </w:rPr>
              <w:t>נשיא המדינה</w:t>
            </w:r>
          </w:p>
          <w:p w14:paraId="7587659A" w14:textId="06063CBF" w:rsidR="006B6497" w:rsidRPr="008E504C" w:rsidRDefault="006B6497" w:rsidP="00AA4D2B">
            <w:pPr>
              <w:spacing w:after="0" w:line="360" w:lineRule="auto"/>
              <w:rPr>
                <w:rFonts w:ascii="David" w:hAnsi="David" w:cs="David"/>
                <w:sz w:val="24"/>
                <w:szCs w:val="24"/>
                <w:rtl/>
              </w:rPr>
            </w:pPr>
            <w:r>
              <w:rPr>
                <w:rFonts w:ascii="David" w:hAnsi="David" w:cs="David" w:hint="cs"/>
                <w:sz w:val="24"/>
                <w:szCs w:val="24"/>
                <w:rtl/>
              </w:rPr>
              <w:t>בית הנשיא</w:t>
            </w:r>
          </w:p>
          <w:p w14:paraId="5E7EF262" w14:textId="77777777" w:rsidR="006B6497" w:rsidRPr="001F1A47" w:rsidRDefault="006B6497" w:rsidP="00AA4D2B">
            <w:pPr>
              <w:spacing w:after="0" w:line="360" w:lineRule="auto"/>
              <w:rPr>
                <w:rFonts w:ascii="David" w:hAnsi="David" w:cs="David"/>
                <w:sz w:val="24"/>
                <w:szCs w:val="24"/>
                <w:u w:val="single"/>
                <w:rtl/>
              </w:rPr>
            </w:pPr>
            <w:r>
              <w:rPr>
                <w:rFonts w:ascii="David" w:hAnsi="David" w:cs="David" w:hint="cs"/>
                <w:sz w:val="24"/>
                <w:szCs w:val="24"/>
                <w:u w:val="single"/>
                <w:rtl/>
              </w:rPr>
              <w:t>ירושלים</w:t>
            </w:r>
          </w:p>
        </w:tc>
        <w:tc>
          <w:tcPr>
            <w:tcW w:w="4300" w:type="dxa"/>
          </w:tcPr>
          <w:p w14:paraId="32B8E4C8" w14:textId="0FC47FB3" w:rsidR="006B6497" w:rsidRDefault="006B6497" w:rsidP="00AA4D2B">
            <w:pPr>
              <w:spacing w:after="0" w:line="360" w:lineRule="auto"/>
              <w:rPr>
                <w:rFonts w:ascii="David" w:hAnsi="David" w:cs="David"/>
                <w:b/>
                <w:bCs/>
                <w:sz w:val="24"/>
                <w:szCs w:val="24"/>
                <w:rtl/>
              </w:rPr>
            </w:pPr>
            <w:r>
              <w:rPr>
                <w:rFonts w:ascii="David" w:hAnsi="David" w:cs="David" w:hint="cs"/>
                <w:b/>
                <w:bCs/>
                <w:sz w:val="24"/>
                <w:szCs w:val="24"/>
                <w:rtl/>
              </w:rPr>
              <w:t>נציגים נכבדים מטעם סיעות האופוזיציה והקואליציה במשא ומתן</w:t>
            </w:r>
          </w:p>
          <w:p w14:paraId="7A2DA764" w14:textId="7F6B9E65" w:rsidR="006B6497" w:rsidRPr="008E504C" w:rsidRDefault="00502A7C" w:rsidP="006B6497">
            <w:pPr>
              <w:spacing w:after="0" w:line="360" w:lineRule="auto"/>
              <w:rPr>
                <w:rFonts w:ascii="David" w:hAnsi="David" w:cs="David"/>
                <w:sz w:val="24"/>
                <w:szCs w:val="24"/>
                <w:rtl/>
              </w:rPr>
            </w:pPr>
            <w:r>
              <w:rPr>
                <w:rFonts w:ascii="David" w:hAnsi="David" w:cs="David" w:hint="cs"/>
                <w:sz w:val="24"/>
                <w:szCs w:val="24"/>
                <w:rtl/>
              </w:rPr>
              <w:t>בית הנשיא</w:t>
            </w:r>
          </w:p>
          <w:p w14:paraId="6FA17FBC" w14:textId="1D163DEF" w:rsidR="00563046" w:rsidRDefault="006B6497" w:rsidP="00563046">
            <w:pPr>
              <w:spacing w:after="0" w:line="360" w:lineRule="auto"/>
              <w:rPr>
                <w:rFonts w:ascii="David" w:hAnsi="David" w:cs="David"/>
                <w:b/>
                <w:bCs/>
                <w:sz w:val="24"/>
                <w:szCs w:val="24"/>
                <w:rtl/>
              </w:rPr>
            </w:pPr>
            <w:r>
              <w:rPr>
                <w:rFonts w:ascii="David" w:hAnsi="David" w:cs="David" w:hint="cs"/>
                <w:sz w:val="24"/>
                <w:szCs w:val="24"/>
                <w:u w:val="single"/>
                <w:rtl/>
              </w:rPr>
              <w:t>ירושלים</w:t>
            </w:r>
          </w:p>
        </w:tc>
      </w:tr>
    </w:tbl>
    <w:p w14:paraId="73F492F6" w14:textId="08B6D7FD" w:rsidR="00563046" w:rsidRDefault="00563046" w:rsidP="00563046">
      <w:pPr>
        <w:spacing w:after="120" w:line="240" w:lineRule="auto"/>
        <w:jc w:val="center"/>
        <w:rPr>
          <w:rFonts w:ascii="David" w:hAnsi="David" w:cs="David"/>
          <w:sz w:val="24"/>
          <w:szCs w:val="24"/>
          <w:rtl/>
        </w:rPr>
      </w:pPr>
      <w:r>
        <w:rPr>
          <w:rFonts w:ascii="David" w:hAnsi="David" w:cs="David" w:hint="cs"/>
          <w:b/>
          <w:bCs/>
          <w:sz w:val="24"/>
          <w:szCs w:val="24"/>
          <w:rtl/>
        </w:rPr>
        <w:t>- דחוף -</w:t>
      </w:r>
    </w:p>
    <w:p w14:paraId="03C77C59" w14:textId="7952AE45" w:rsidR="00107D82" w:rsidRDefault="00672B8E" w:rsidP="00563046">
      <w:pPr>
        <w:spacing w:after="120" w:line="240" w:lineRule="auto"/>
        <w:rPr>
          <w:rFonts w:ascii="David" w:hAnsi="David" w:cs="David"/>
          <w:sz w:val="24"/>
          <w:szCs w:val="24"/>
          <w:rtl/>
        </w:rPr>
      </w:pPr>
      <w:proofErr w:type="spellStart"/>
      <w:r>
        <w:rPr>
          <w:rFonts w:ascii="David" w:hAnsi="David" w:cs="David" w:hint="cs"/>
          <w:sz w:val="24"/>
          <w:szCs w:val="24"/>
          <w:rtl/>
        </w:rPr>
        <w:t>א.</w:t>
      </w:r>
      <w:r w:rsidR="001F1A47">
        <w:rPr>
          <w:rFonts w:ascii="David" w:hAnsi="David" w:cs="David" w:hint="cs"/>
          <w:sz w:val="24"/>
          <w:szCs w:val="24"/>
          <w:rtl/>
        </w:rPr>
        <w:t>ג.</w:t>
      </w:r>
      <w:r w:rsidR="00107D82">
        <w:rPr>
          <w:rFonts w:ascii="David" w:hAnsi="David" w:cs="David" w:hint="cs"/>
          <w:sz w:val="24"/>
          <w:szCs w:val="24"/>
          <w:rtl/>
        </w:rPr>
        <w:t>נ</w:t>
      </w:r>
      <w:proofErr w:type="spellEnd"/>
      <w:r w:rsidR="00107D82">
        <w:rPr>
          <w:rFonts w:ascii="David" w:hAnsi="David" w:cs="David" w:hint="cs"/>
          <w:sz w:val="24"/>
          <w:szCs w:val="24"/>
          <w:rtl/>
        </w:rPr>
        <w:t>,</w:t>
      </w:r>
      <w:r w:rsidR="00563046">
        <w:rPr>
          <w:rFonts w:ascii="David" w:hAnsi="David" w:cs="David"/>
          <w:sz w:val="24"/>
          <w:szCs w:val="24"/>
          <w:rtl/>
        </w:rPr>
        <w:tab/>
      </w:r>
      <w:r w:rsidR="00563046">
        <w:rPr>
          <w:rFonts w:ascii="David" w:hAnsi="David" w:cs="David"/>
          <w:sz w:val="24"/>
          <w:szCs w:val="24"/>
          <w:rtl/>
        </w:rPr>
        <w:tab/>
      </w:r>
      <w:r w:rsidR="00563046">
        <w:rPr>
          <w:rFonts w:ascii="David" w:hAnsi="David" w:cs="David"/>
          <w:sz w:val="24"/>
          <w:szCs w:val="24"/>
          <w:rtl/>
        </w:rPr>
        <w:tab/>
      </w:r>
      <w:r w:rsidR="00563046">
        <w:rPr>
          <w:rFonts w:ascii="David" w:hAnsi="David" w:cs="David"/>
          <w:sz w:val="24"/>
          <w:szCs w:val="24"/>
          <w:rtl/>
        </w:rPr>
        <w:tab/>
      </w:r>
    </w:p>
    <w:p w14:paraId="16FA03FA" w14:textId="6DD4AB09" w:rsidR="00107D82" w:rsidRDefault="00107D82" w:rsidP="00DF47AB">
      <w:pPr>
        <w:spacing w:before="240" w:line="360" w:lineRule="auto"/>
        <w:ind w:left="-341" w:right="-284"/>
        <w:jc w:val="center"/>
        <w:rPr>
          <w:rFonts w:ascii="David" w:hAnsi="David" w:cs="David"/>
          <w:b/>
          <w:bCs/>
          <w:sz w:val="36"/>
          <w:szCs w:val="36"/>
          <w:u w:val="single"/>
          <w:rtl/>
        </w:rPr>
      </w:pPr>
      <w:r w:rsidRPr="00A0328F">
        <w:rPr>
          <w:rFonts w:ascii="David" w:hAnsi="David" w:cs="David" w:hint="cs"/>
          <w:sz w:val="36"/>
          <w:szCs w:val="36"/>
          <w:rtl/>
        </w:rPr>
        <w:t>הנדון:</w:t>
      </w:r>
      <w:r w:rsidRPr="00A0328F">
        <w:rPr>
          <w:rFonts w:ascii="David" w:hAnsi="David" w:cs="David" w:hint="cs"/>
          <w:b/>
          <w:bCs/>
          <w:sz w:val="36"/>
          <w:szCs w:val="36"/>
          <w:rtl/>
        </w:rPr>
        <w:t xml:space="preserve"> </w:t>
      </w:r>
      <w:r w:rsidR="00E203E9">
        <w:rPr>
          <w:rFonts w:ascii="David" w:hAnsi="David" w:cs="David" w:hint="cs"/>
          <w:b/>
          <w:bCs/>
          <w:sz w:val="36"/>
          <w:szCs w:val="36"/>
          <w:u w:val="single"/>
          <w:rtl/>
        </w:rPr>
        <w:t>האפשרות ל</w:t>
      </w:r>
      <w:r w:rsidR="008E504C">
        <w:rPr>
          <w:rFonts w:ascii="David" w:hAnsi="David" w:cs="David" w:hint="cs"/>
          <w:b/>
          <w:bCs/>
          <w:sz w:val="36"/>
          <w:szCs w:val="36"/>
          <w:u w:val="single"/>
          <w:rtl/>
        </w:rPr>
        <w:t>ביטול עילת הסבירות</w:t>
      </w:r>
      <w:r w:rsidR="006B6497">
        <w:rPr>
          <w:rFonts w:ascii="David" w:hAnsi="David" w:cs="David" w:hint="cs"/>
          <w:b/>
          <w:bCs/>
          <w:sz w:val="36"/>
          <w:szCs w:val="36"/>
          <w:u w:val="single"/>
          <w:rtl/>
        </w:rPr>
        <w:t xml:space="preserve"> ביחס להחלטות הממשלה</w:t>
      </w:r>
    </w:p>
    <w:p w14:paraId="107756A7" w14:textId="7782E0FF" w:rsidR="00107D82" w:rsidRDefault="00107D82" w:rsidP="00672B8E">
      <w:pPr>
        <w:spacing w:before="240" w:line="360" w:lineRule="auto"/>
        <w:jc w:val="both"/>
        <w:rPr>
          <w:rFonts w:ascii="David" w:hAnsi="David" w:cs="David"/>
          <w:b/>
          <w:bCs/>
          <w:sz w:val="24"/>
          <w:szCs w:val="24"/>
          <w:rtl/>
        </w:rPr>
      </w:pPr>
      <w:r w:rsidRPr="00450A4C">
        <w:rPr>
          <w:rFonts w:ascii="David" w:hAnsi="David" w:cs="David" w:hint="cs"/>
          <w:b/>
          <w:bCs/>
          <w:sz w:val="24"/>
          <w:szCs w:val="24"/>
          <w:rtl/>
        </w:rPr>
        <w:t xml:space="preserve">בשם התנועה למען איכות השלטון בישראל, </w:t>
      </w:r>
      <w:proofErr w:type="spellStart"/>
      <w:r w:rsidRPr="00450A4C">
        <w:rPr>
          <w:rFonts w:ascii="David" w:hAnsi="David" w:cs="David" w:hint="cs"/>
          <w:b/>
          <w:bCs/>
          <w:sz w:val="24"/>
          <w:szCs w:val="24"/>
          <w:rtl/>
        </w:rPr>
        <w:t>ע"ר</w:t>
      </w:r>
      <w:proofErr w:type="spellEnd"/>
      <w:r w:rsidRPr="00450A4C">
        <w:rPr>
          <w:rFonts w:ascii="David" w:hAnsi="David" w:cs="David" w:hint="cs"/>
          <w:b/>
          <w:bCs/>
          <w:sz w:val="24"/>
          <w:szCs w:val="24"/>
          <w:rtl/>
        </w:rPr>
        <w:t xml:space="preserve"> (להלן: "התנועה")</w:t>
      </w:r>
      <w:r w:rsidR="008E504C">
        <w:rPr>
          <w:rFonts w:ascii="David" w:hAnsi="David" w:cs="David" w:hint="cs"/>
          <w:b/>
          <w:bCs/>
          <w:sz w:val="24"/>
          <w:szCs w:val="24"/>
          <w:rtl/>
        </w:rPr>
        <w:t>,</w:t>
      </w:r>
      <w:r w:rsidRPr="00450A4C">
        <w:rPr>
          <w:rFonts w:ascii="David" w:hAnsi="David" w:cs="David" w:hint="cs"/>
          <w:b/>
          <w:bCs/>
          <w:sz w:val="24"/>
          <w:szCs w:val="24"/>
          <w:rtl/>
        </w:rPr>
        <w:t xml:space="preserve"> </w:t>
      </w:r>
      <w:r w:rsidR="00672B8E">
        <w:rPr>
          <w:rFonts w:ascii="David" w:hAnsi="David" w:cs="David" w:hint="cs"/>
          <w:b/>
          <w:bCs/>
          <w:sz w:val="24"/>
          <w:szCs w:val="24"/>
          <w:rtl/>
        </w:rPr>
        <w:t>אנו מתכבדים</w:t>
      </w:r>
      <w:r w:rsidR="00AA4D2B">
        <w:rPr>
          <w:rFonts w:ascii="David" w:hAnsi="David" w:cs="David" w:hint="cs"/>
          <w:b/>
          <w:bCs/>
          <w:sz w:val="24"/>
          <w:szCs w:val="24"/>
          <w:rtl/>
        </w:rPr>
        <w:t xml:space="preserve"> לפנות אליך</w:t>
      </w:r>
      <w:r w:rsidRPr="00450A4C">
        <w:rPr>
          <w:rFonts w:ascii="David" w:hAnsi="David" w:cs="David" w:hint="cs"/>
          <w:b/>
          <w:bCs/>
          <w:sz w:val="24"/>
          <w:szCs w:val="24"/>
          <w:rtl/>
        </w:rPr>
        <w:t xml:space="preserve"> כדלקמן:</w:t>
      </w:r>
    </w:p>
    <w:p w14:paraId="4D440D6C" w14:textId="56257866" w:rsidR="00AA4D2B" w:rsidRDefault="00AA4D2B" w:rsidP="00502A7C">
      <w:pPr>
        <w:numPr>
          <w:ilvl w:val="0"/>
          <w:numId w:val="35"/>
        </w:numPr>
        <w:spacing w:after="120" w:line="360" w:lineRule="auto"/>
        <w:ind w:left="357" w:hanging="357"/>
        <w:jc w:val="both"/>
        <w:rPr>
          <w:rFonts w:ascii="David" w:hAnsi="David" w:cs="David"/>
          <w:sz w:val="24"/>
          <w:szCs w:val="24"/>
        </w:rPr>
      </w:pPr>
      <w:r>
        <w:rPr>
          <w:rFonts w:ascii="David" w:hAnsi="David" w:cs="David" w:hint="cs"/>
          <w:sz w:val="24"/>
          <w:szCs w:val="24"/>
          <w:rtl/>
        </w:rPr>
        <w:t>בי</w:t>
      </w:r>
      <w:r w:rsidR="006B6497">
        <w:rPr>
          <w:rFonts w:ascii="David" w:hAnsi="David" w:cs="David" w:hint="cs"/>
          <w:sz w:val="24"/>
          <w:szCs w:val="24"/>
          <w:rtl/>
        </w:rPr>
        <w:t>ום 17.5.2023 פורסם בתקשורת,</w:t>
      </w:r>
      <w:r w:rsidR="006B6497">
        <w:rPr>
          <w:rStyle w:val="ab"/>
          <w:rFonts w:ascii="David" w:hAnsi="David" w:cs="David"/>
          <w:sz w:val="24"/>
          <w:szCs w:val="24"/>
          <w:rtl/>
        </w:rPr>
        <w:footnoteReference w:id="1"/>
      </w:r>
      <w:r w:rsidR="006B6497">
        <w:rPr>
          <w:rFonts w:ascii="David" w:hAnsi="David" w:cs="David" w:hint="cs"/>
          <w:sz w:val="24"/>
          <w:szCs w:val="24"/>
          <w:rtl/>
        </w:rPr>
        <w:t xml:space="preserve"> </w:t>
      </w:r>
      <w:r w:rsidR="00860607">
        <w:rPr>
          <w:rFonts w:ascii="David" w:hAnsi="David" w:cs="David" w:hint="cs"/>
          <w:sz w:val="24"/>
          <w:szCs w:val="24"/>
          <w:rtl/>
        </w:rPr>
        <w:t xml:space="preserve">כי </w:t>
      </w:r>
      <w:r w:rsidR="00502A7C">
        <w:rPr>
          <w:rFonts w:ascii="David" w:hAnsi="David" w:cs="David" w:hint="cs"/>
          <w:sz w:val="24"/>
          <w:szCs w:val="24"/>
          <w:rtl/>
        </w:rPr>
        <w:t>ב</w:t>
      </w:r>
      <w:r w:rsidR="00502A7C" w:rsidRPr="00502A7C">
        <w:rPr>
          <w:rFonts w:ascii="David" w:hAnsi="David" w:cs="David"/>
          <w:sz w:val="24"/>
          <w:szCs w:val="24"/>
          <w:rtl/>
        </w:rPr>
        <w:t>מגעים בין נציגי ה</w:t>
      </w:r>
      <w:r w:rsidR="00502A7C">
        <w:rPr>
          <w:rFonts w:ascii="David" w:hAnsi="David" w:cs="David" w:hint="cs"/>
          <w:sz w:val="24"/>
          <w:szCs w:val="24"/>
          <w:rtl/>
        </w:rPr>
        <w:t>אופוזיציה והקואליציה</w:t>
      </w:r>
      <w:r w:rsidR="00502A7C" w:rsidRPr="00502A7C">
        <w:rPr>
          <w:rFonts w:ascii="David" w:hAnsi="David" w:cs="David"/>
          <w:sz w:val="24"/>
          <w:szCs w:val="24"/>
          <w:rtl/>
        </w:rPr>
        <w:t xml:space="preserve"> בחסות נשיא המדינה, קיימת הסכמה כללית כי החלטות הממשלה "יחוסנו" בפני עילת הסבירות, ובית המשפט לא יוכל לקבוע שהחלטות שהתקבלו במליאת הממשלה לוקות בחוסר סבירות ולכן דינן להיפסל. יחד עם זאת, </w:t>
      </w:r>
      <w:r w:rsidR="00502A7C">
        <w:rPr>
          <w:rFonts w:ascii="David" w:hAnsi="David" w:cs="David" w:hint="cs"/>
          <w:sz w:val="24"/>
          <w:szCs w:val="24"/>
          <w:rtl/>
        </w:rPr>
        <w:t xml:space="preserve">לפי הפרסומים </w:t>
      </w:r>
      <w:r w:rsidR="00502A7C" w:rsidRPr="00502A7C">
        <w:rPr>
          <w:rFonts w:ascii="David" w:hAnsi="David" w:cs="David"/>
          <w:sz w:val="24"/>
          <w:szCs w:val="24"/>
          <w:rtl/>
        </w:rPr>
        <w:t>החסינות האמורה לא תחול על מינוי</w:t>
      </w:r>
      <w:r w:rsidR="00502A7C">
        <w:rPr>
          <w:rFonts w:ascii="David" w:hAnsi="David" w:cs="David" w:hint="cs"/>
          <w:sz w:val="24"/>
          <w:szCs w:val="24"/>
          <w:rtl/>
        </w:rPr>
        <w:t>ים בממשלה.</w:t>
      </w:r>
    </w:p>
    <w:p w14:paraId="09AD670D" w14:textId="25AA1408" w:rsidR="008E504C" w:rsidRDefault="00502A7C" w:rsidP="001F59D4">
      <w:pPr>
        <w:keepNext/>
        <w:widowControl w:val="0"/>
        <w:numPr>
          <w:ilvl w:val="0"/>
          <w:numId w:val="35"/>
        </w:numPr>
        <w:spacing w:after="80" w:line="360" w:lineRule="auto"/>
        <w:jc w:val="both"/>
        <w:rPr>
          <w:rFonts w:ascii="David" w:hAnsi="David" w:cs="David"/>
          <w:b/>
          <w:bCs/>
          <w:color w:val="1F1F1F"/>
          <w:sz w:val="24"/>
          <w:szCs w:val="24"/>
          <w:shd w:val="clear" w:color="auto" w:fill="FFFFFF"/>
        </w:rPr>
      </w:pPr>
      <w:r w:rsidRPr="00502A7C">
        <w:rPr>
          <w:rFonts w:ascii="David" w:hAnsi="David" w:cs="David" w:hint="cs"/>
          <w:sz w:val="24"/>
          <w:szCs w:val="24"/>
          <w:rtl/>
        </w:rPr>
        <w:t>אם כן, אנו פונים אליכם כעת בבקשה להבהיר</w:t>
      </w:r>
      <w:r>
        <w:rPr>
          <w:rFonts w:ascii="David" w:hAnsi="David" w:cs="David" w:hint="cs"/>
          <w:b/>
          <w:bCs/>
          <w:color w:val="1F1F1F"/>
          <w:sz w:val="24"/>
          <w:szCs w:val="24"/>
          <w:shd w:val="clear" w:color="auto" w:fill="FFFFFF"/>
          <w:rtl/>
        </w:rPr>
        <w:t xml:space="preserve"> </w:t>
      </w:r>
      <w:r w:rsidRPr="00502A7C">
        <w:rPr>
          <w:rFonts w:ascii="David" w:hAnsi="David" w:cs="David" w:hint="cs"/>
          <w:color w:val="1F1F1F"/>
          <w:sz w:val="24"/>
          <w:szCs w:val="24"/>
          <w:shd w:val="clear" w:color="auto" w:fill="FFFFFF"/>
          <w:rtl/>
        </w:rPr>
        <w:t>כי</w:t>
      </w:r>
      <w:r w:rsidR="008E504C" w:rsidRPr="00502A7C">
        <w:rPr>
          <w:rFonts w:ascii="David" w:hAnsi="David" w:cs="David"/>
          <w:color w:val="1F1F1F"/>
          <w:sz w:val="24"/>
          <w:szCs w:val="24"/>
          <w:shd w:val="clear" w:color="auto" w:fill="FFFFFF"/>
          <w:rtl/>
        </w:rPr>
        <w:t xml:space="preserve">, </w:t>
      </w:r>
      <w:r w:rsidR="008E504C" w:rsidRPr="00502A7C">
        <w:rPr>
          <w:rFonts w:ascii="David" w:hAnsi="David" w:cs="David"/>
          <w:b/>
          <w:bCs/>
          <w:color w:val="1F1F1F"/>
          <w:sz w:val="24"/>
          <w:szCs w:val="24"/>
          <w:shd w:val="clear" w:color="auto" w:fill="FFFFFF"/>
          <w:rtl/>
        </w:rPr>
        <w:t xml:space="preserve">עילת הסבירות היא כלי שיפוטי, הכרחי ומרכזי בהכרעות השונות הפוגעות באזרחים. הניסיון לצמצם את עילת הסבירות – כמוהו לצמצום יכולתם החוקית של אזרחי המדינה להתנגד לפעולות הממשל השונות שמבקשות לפגוע בהם ובזכויותיהם הבסיסיות ביותר. </w:t>
      </w:r>
    </w:p>
    <w:p w14:paraId="126DF72D" w14:textId="44483A19" w:rsidR="00502A7C" w:rsidRPr="00502A7C" w:rsidRDefault="00502A7C" w:rsidP="001F59D4">
      <w:pPr>
        <w:keepNext/>
        <w:widowControl w:val="0"/>
        <w:numPr>
          <w:ilvl w:val="0"/>
          <w:numId w:val="35"/>
        </w:numPr>
        <w:spacing w:after="80" w:line="360" w:lineRule="auto"/>
        <w:jc w:val="both"/>
        <w:rPr>
          <w:rFonts w:ascii="David" w:hAnsi="David" w:cs="David"/>
          <w:b/>
          <w:bCs/>
          <w:color w:val="1F1F1F"/>
          <w:sz w:val="24"/>
          <w:szCs w:val="24"/>
          <w:shd w:val="clear" w:color="auto" w:fill="FFFFFF"/>
        </w:rPr>
      </w:pPr>
      <w:r>
        <w:rPr>
          <w:rFonts w:ascii="David" w:hAnsi="David" w:cs="David" w:hint="cs"/>
          <w:sz w:val="24"/>
          <w:szCs w:val="24"/>
          <w:rtl/>
        </w:rPr>
        <w:t xml:space="preserve">מכאן, שאנו סבורים שאין לכם את המנדט והסמכות לבטל, או לצמצם את עילת הסבירות ביחס לאפשרותם של אזרחי המדינה להתנגד לפעולות הממשלה השונות ולעמוד על זכותם הבסיסית </w:t>
      </w:r>
      <w:r>
        <w:rPr>
          <w:rFonts w:ascii="David" w:hAnsi="David" w:cs="David"/>
          <w:sz w:val="24"/>
          <w:szCs w:val="24"/>
          <w:rtl/>
        </w:rPr>
        <w:t>–</w:t>
      </w:r>
      <w:r>
        <w:rPr>
          <w:rFonts w:ascii="David" w:hAnsi="David" w:cs="David" w:hint="cs"/>
          <w:sz w:val="24"/>
          <w:szCs w:val="24"/>
          <w:rtl/>
        </w:rPr>
        <w:t xml:space="preserve"> </w:t>
      </w:r>
      <w:r w:rsidRPr="00502A7C">
        <w:rPr>
          <w:rFonts w:ascii="David" w:hAnsi="David" w:cs="David" w:hint="cs"/>
          <w:b/>
          <w:bCs/>
          <w:sz w:val="24"/>
          <w:szCs w:val="24"/>
          <w:rtl/>
        </w:rPr>
        <w:t>ובשעה שגם אין חוקה בישראל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לפנות לסעד וביטול הגזרה בערכאות שיפוטיות.</w:t>
      </w:r>
    </w:p>
    <w:p w14:paraId="5C5720B5" w14:textId="7A87658E" w:rsidR="008E504C" w:rsidRPr="008E504C" w:rsidRDefault="008E504C" w:rsidP="008E504C">
      <w:pPr>
        <w:keepNext/>
        <w:widowControl w:val="0"/>
        <w:numPr>
          <w:ilvl w:val="0"/>
          <w:numId w:val="35"/>
        </w:numPr>
        <w:spacing w:after="80" w:line="360" w:lineRule="auto"/>
        <w:jc w:val="both"/>
        <w:rPr>
          <w:rFonts w:ascii="David" w:hAnsi="David" w:cs="David"/>
          <w:sz w:val="24"/>
          <w:szCs w:val="24"/>
        </w:rPr>
      </w:pPr>
      <w:r w:rsidRPr="008E504C">
        <w:rPr>
          <w:rFonts w:ascii="David" w:hAnsi="David" w:cs="David"/>
          <w:color w:val="1F1F1F"/>
          <w:sz w:val="24"/>
          <w:szCs w:val="24"/>
          <w:shd w:val="clear" w:color="auto" w:fill="FFFFFF"/>
          <w:rtl/>
        </w:rPr>
        <w:t xml:space="preserve">יצוין, כי </w:t>
      </w:r>
      <w:r w:rsidRPr="008E504C">
        <w:rPr>
          <w:rFonts w:ascii="David" w:hAnsi="David" w:cs="David"/>
          <w:sz w:val="24"/>
          <w:szCs w:val="24"/>
          <w:rtl/>
        </w:rPr>
        <w:t>עילת אי-הסבירות הוכרה בדין הישראלי בראשית ימי המדינה בהשראת הדין הבריטי.</w:t>
      </w:r>
      <w:r w:rsidRPr="008E504C">
        <w:rPr>
          <w:rStyle w:val="ab"/>
          <w:rFonts w:ascii="David" w:hAnsi="David" w:cs="David"/>
          <w:sz w:val="24"/>
          <w:szCs w:val="24"/>
          <w:rtl/>
        </w:rPr>
        <w:footnoteReference w:id="2"/>
      </w:r>
      <w:r w:rsidRPr="008E504C">
        <w:rPr>
          <w:rFonts w:ascii="David" w:hAnsi="David" w:cs="David"/>
          <w:sz w:val="24"/>
          <w:szCs w:val="24"/>
          <w:rtl/>
        </w:rPr>
        <w:t xml:space="preserve"> </w:t>
      </w:r>
      <w:r w:rsidRPr="008E504C">
        <w:rPr>
          <w:rFonts w:ascii="David" w:hAnsi="David" w:cs="David"/>
          <w:color w:val="1F1F1F"/>
          <w:sz w:val="24"/>
          <w:szCs w:val="24"/>
          <w:shd w:val="clear" w:color="auto" w:fill="FFFFFF"/>
          <w:rtl/>
        </w:rPr>
        <w:t>בבריטניה</w:t>
      </w:r>
      <w:r w:rsidRPr="008E504C">
        <w:rPr>
          <w:rFonts w:ascii="David" w:hAnsi="David" w:cs="David"/>
          <w:sz w:val="24"/>
          <w:szCs w:val="24"/>
          <w:rtl/>
        </w:rPr>
        <w:t xml:space="preserve"> המונח אי-סבירות שימש בהכרעות שיפוטיות לגבי </w:t>
      </w:r>
      <w:r w:rsidRPr="00841C62">
        <w:rPr>
          <w:rFonts w:ascii="David" w:hAnsi="David" w:cs="David"/>
          <w:sz w:val="24"/>
          <w:szCs w:val="24"/>
          <w:rtl/>
        </w:rPr>
        <w:t xml:space="preserve">חוקיות </w:t>
      </w:r>
      <w:r w:rsidRPr="008E504C">
        <w:rPr>
          <w:rFonts w:ascii="David" w:hAnsi="David" w:cs="David"/>
          <w:sz w:val="24"/>
          <w:szCs w:val="24"/>
          <w:rtl/>
        </w:rPr>
        <w:t>חוקי-עזר עירוניים לפחות מאז סוף המאה ה-19 באנגליה, ונטען שהוא קיים כבר מהמאה ה-16, במסגרת "</w:t>
      </w:r>
      <w:r w:rsidRPr="00841C62">
        <w:rPr>
          <w:rFonts w:ascii="David" w:hAnsi="David" w:cs="David"/>
          <w:b/>
          <w:bCs/>
          <w:color w:val="1F1F1F"/>
          <w:sz w:val="24"/>
          <w:szCs w:val="24"/>
          <w:shd w:val="clear" w:color="auto" w:fill="FFFFFF"/>
          <w:rtl/>
        </w:rPr>
        <w:t>כלל של היגיון</w:t>
      </w:r>
      <w:r w:rsidRPr="008E504C">
        <w:rPr>
          <w:rFonts w:ascii="David" w:hAnsi="David" w:cs="David"/>
          <w:color w:val="1F1F1F"/>
          <w:sz w:val="24"/>
          <w:szCs w:val="24"/>
          <w:shd w:val="clear" w:color="auto" w:fill="FFFFFF"/>
          <w:rtl/>
        </w:rPr>
        <w:t>"</w:t>
      </w:r>
      <w:r w:rsidRPr="008E504C">
        <w:rPr>
          <w:rFonts w:ascii="David" w:hAnsi="David" w:cs="David"/>
          <w:sz w:val="24"/>
          <w:szCs w:val="24"/>
          <w:rtl/>
        </w:rPr>
        <w:t xml:space="preserve"> במשפט הציבורי.</w:t>
      </w:r>
      <w:r w:rsidRPr="008E504C">
        <w:rPr>
          <w:rStyle w:val="ab"/>
          <w:rFonts w:ascii="David" w:hAnsi="David" w:cs="David"/>
          <w:sz w:val="24"/>
          <w:szCs w:val="24"/>
          <w:rtl/>
        </w:rPr>
        <w:footnoteReference w:id="3"/>
      </w:r>
    </w:p>
    <w:p w14:paraId="158EA86F" w14:textId="77777777" w:rsidR="008E504C" w:rsidRPr="008E504C" w:rsidRDefault="008E504C" w:rsidP="008E504C">
      <w:pPr>
        <w:keepNext/>
        <w:widowControl w:val="0"/>
        <w:numPr>
          <w:ilvl w:val="0"/>
          <w:numId w:val="35"/>
        </w:numPr>
        <w:spacing w:after="80" w:line="360" w:lineRule="auto"/>
        <w:jc w:val="both"/>
        <w:rPr>
          <w:rFonts w:ascii="David" w:hAnsi="David" w:cs="David"/>
          <w:sz w:val="24"/>
          <w:szCs w:val="24"/>
          <w:rtl/>
        </w:rPr>
      </w:pPr>
      <w:r w:rsidRPr="008E504C">
        <w:rPr>
          <w:rFonts w:ascii="David" w:hAnsi="David" w:cs="David"/>
          <w:color w:val="1F1F1F"/>
          <w:sz w:val="24"/>
          <w:szCs w:val="24"/>
          <w:shd w:val="clear" w:color="auto" w:fill="FFFFFF"/>
          <w:rtl/>
        </w:rPr>
        <w:t>התפתחותה</w:t>
      </w:r>
      <w:r w:rsidRPr="008E504C">
        <w:rPr>
          <w:rFonts w:ascii="David" w:hAnsi="David" w:cs="David"/>
          <w:sz w:val="24"/>
          <w:szCs w:val="24"/>
          <w:rtl/>
        </w:rPr>
        <w:t xml:space="preserve"> של עילת הסבירות במובנה המודרני החלה בבריטניה באמצע המאה ה-20 </w:t>
      </w:r>
      <w:r w:rsidRPr="008E504C">
        <w:rPr>
          <w:rFonts w:ascii="David" w:hAnsi="David" w:cs="David"/>
          <w:b/>
          <w:bCs/>
          <w:sz w:val="24"/>
          <w:szCs w:val="24"/>
          <w:rtl/>
        </w:rPr>
        <w:t xml:space="preserve">בפסק </w:t>
      </w:r>
      <w:r w:rsidRPr="008E504C">
        <w:rPr>
          <w:rFonts w:ascii="David" w:hAnsi="David" w:cs="David"/>
          <w:b/>
          <w:bCs/>
          <w:sz w:val="24"/>
          <w:szCs w:val="24"/>
          <w:rtl/>
        </w:rPr>
        <w:lastRenderedPageBreak/>
        <w:t>דין של בית המשפט העליון</w:t>
      </w:r>
      <w:r w:rsidRPr="008E504C">
        <w:rPr>
          <w:rFonts w:ascii="David" w:hAnsi="David" w:cs="David"/>
          <w:sz w:val="24"/>
          <w:szCs w:val="24"/>
          <w:rtl/>
        </w:rPr>
        <w:t xml:space="preserve"> לערעורים (של אנגליה </w:t>
      </w:r>
      <w:proofErr w:type="spellStart"/>
      <w:r w:rsidRPr="008E504C">
        <w:rPr>
          <w:rFonts w:ascii="David" w:hAnsi="David" w:cs="David"/>
          <w:sz w:val="24"/>
          <w:szCs w:val="24"/>
          <w:rtl/>
        </w:rPr>
        <w:t>וויילס</w:t>
      </w:r>
      <w:proofErr w:type="spellEnd"/>
      <w:r w:rsidRPr="008E504C">
        <w:rPr>
          <w:rFonts w:ascii="David" w:hAnsi="David" w:cs="David"/>
          <w:sz w:val="24"/>
          <w:szCs w:val="24"/>
          <w:rtl/>
        </w:rPr>
        <w:t>), אשר קבע כי שיקול דעתה של רשות ציבורית כפוף למגבלה של סבירות.</w:t>
      </w:r>
      <w:r w:rsidRPr="008E504C">
        <w:rPr>
          <w:rStyle w:val="ab"/>
          <w:rFonts w:ascii="David" w:hAnsi="David" w:cs="David"/>
          <w:sz w:val="24"/>
          <w:szCs w:val="24"/>
          <w:rtl/>
        </w:rPr>
        <w:footnoteReference w:id="4"/>
      </w:r>
      <w:r w:rsidRPr="008E504C">
        <w:rPr>
          <w:rFonts w:ascii="David" w:hAnsi="David" w:cs="David"/>
          <w:sz w:val="24"/>
          <w:szCs w:val="24"/>
          <w:rtl/>
        </w:rPr>
        <w:t xml:space="preserve"> ודוק, מובנה המודרני של עילת אי-הסבירות שם הוא עילת ביקורת </w:t>
      </w:r>
      <w:r w:rsidRPr="008E504C">
        <w:rPr>
          <w:rFonts w:ascii="David" w:hAnsi="David" w:cs="David"/>
          <w:b/>
          <w:bCs/>
          <w:sz w:val="24"/>
          <w:szCs w:val="24"/>
          <w:rtl/>
        </w:rPr>
        <w:t>עצמאית</w:t>
      </w:r>
      <w:r w:rsidRPr="008E504C">
        <w:rPr>
          <w:rFonts w:ascii="David" w:hAnsi="David" w:cs="David"/>
          <w:sz w:val="24"/>
          <w:szCs w:val="24"/>
          <w:rtl/>
        </w:rPr>
        <w:t xml:space="preserve"> </w:t>
      </w:r>
      <w:r w:rsidRPr="008E504C">
        <w:rPr>
          <w:rFonts w:ascii="David" w:hAnsi="David" w:cs="David"/>
          <w:b/>
          <w:bCs/>
          <w:sz w:val="24"/>
          <w:szCs w:val="24"/>
          <w:rtl/>
        </w:rPr>
        <w:t xml:space="preserve">ונפרדת </w:t>
      </w:r>
      <w:r w:rsidRPr="008E504C">
        <w:rPr>
          <w:rFonts w:ascii="David" w:hAnsi="David" w:cs="David"/>
          <w:sz w:val="24"/>
          <w:szCs w:val="24"/>
          <w:rtl/>
        </w:rPr>
        <w:t>שעניינה הפעלת שיקול-הדעת של הרשות המנהלית.</w:t>
      </w:r>
      <w:r w:rsidRPr="008E504C">
        <w:rPr>
          <w:rStyle w:val="ab"/>
          <w:rFonts w:ascii="David" w:hAnsi="David" w:cs="David"/>
          <w:sz w:val="24"/>
          <w:szCs w:val="24"/>
          <w:rtl/>
        </w:rPr>
        <w:footnoteReference w:id="5"/>
      </w:r>
    </w:p>
    <w:p w14:paraId="1CE05449" w14:textId="74751732" w:rsidR="008E504C" w:rsidRPr="008E504C" w:rsidRDefault="00841C62" w:rsidP="008E504C">
      <w:pPr>
        <w:keepNext/>
        <w:widowControl w:val="0"/>
        <w:numPr>
          <w:ilvl w:val="0"/>
          <w:numId w:val="35"/>
        </w:numPr>
        <w:spacing w:after="80" w:line="360" w:lineRule="auto"/>
        <w:jc w:val="both"/>
        <w:rPr>
          <w:rFonts w:ascii="David" w:hAnsi="David" w:cs="David"/>
          <w:color w:val="1F1F1F"/>
          <w:sz w:val="24"/>
          <w:szCs w:val="24"/>
          <w:shd w:val="clear" w:color="auto" w:fill="FFFFFF"/>
        </w:rPr>
      </w:pPr>
      <w:r>
        <w:rPr>
          <w:rFonts w:ascii="David" w:hAnsi="David" w:cs="David" w:hint="cs"/>
          <w:sz w:val="24"/>
          <w:szCs w:val="24"/>
          <w:rtl/>
        </w:rPr>
        <w:t>זה המקום לציין, ש</w:t>
      </w:r>
      <w:r w:rsidR="008E504C" w:rsidRPr="008E504C">
        <w:rPr>
          <w:rFonts w:ascii="David" w:hAnsi="David" w:cs="David"/>
          <w:sz w:val="24"/>
          <w:szCs w:val="24"/>
          <w:rtl/>
        </w:rPr>
        <w:t>השימוש בעילת הסבירות כעילת ביקורת עצמאית, כאמור, הביא להגנה רחבה מאי-פעם על שלטון החוק במדינת ישראל.</w:t>
      </w:r>
      <w:r w:rsidR="008E504C" w:rsidRPr="008E504C">
        <w:rPr>
          <w:rStyle w:val="ab"/>
          <w:rFonts w:ascii="David" w:hAnsi="David" w:cs="David"/>
          <w:sz w:val="24"/>
          <w:szCs w:val="24"/>
          <w:rtl/>
        </w:rPr>
        <w:footnoteReference w:id="6"/>
      </w:r>
      <w:r w:rsidR="008E504C" w:rsidRPr="008E504C">
        <w:rPr>
          <w:rFonts w:ascii="David" w:hAnsi="David" w:cs="David"/>
          <w:sz w:val="24"/>
          <w:szCs w:val="24"/>
          <w:rtl/>
        </w:rPr>
        <w:t xml:space="preserve"> וזאת, בצמוד </w:t>
      </w:r>
      <w:r w:rsidR="008E504C" w:rsidRPr="008E504C">
        <w:rPr>
          <w:rFonts w:ascii="David" w:hAnsi="David" w:cs="David"/>
          <w:b/>
          <w:bCs/>
          <w:sz w:val="24"/>
          <w:szCs w:val="24"/>
          <w:rtl/>
        </w:rPr>
        <w:t>ובעקבות</w:t>
      </w:r>
      <w:r w:rsidR="008E504C" w:rsidRPr="008E504C">
        <w:rPr>
          <w:rFonts w:ascii="David" w:hAnsi="David" w:cs="David"/>
          <w:sz w:val="24"/>
          <w:szCs w:val="24"/>
          <w:rtl/>
        </w:rPr>
        <w:t xml:space="preserve"> קידום ומימוש עקרון זה בחקיקה ובמדיניות הממשלה, בפרט בכל הנוגע ליישום עקרונות הצדק הטבעי – שוויון (חוק חובת מכרזים), הגינות (כלל ההסדרים העוסקים באיסור על ניגוד עניינים ברשות המבצעת) וקידום המדיניות והאסדרה בכל הנוגע לענייני שחיתות וטוהר המידות בשלטון. </w:t>
      </w:r>
    </w:p>
    <w:p w14:paraId="650E4391" w14:textId="77777777" w:rsidR="008E504C" w:rsidRPr="008E504C" w:rsidRDefault="008E504C" w:rsidP="008E504C">
      <w:pPr>
        <w:keepNext/>
        <w:widowControl w:val="0"/>
        <w:numPr>
          <w:ilvl w:val="0"/>
          <w:numId w:val="35"/>
        </w:numPr>
        <w:spacing w:after="80" w:line="360" w:lineRule="auto"/>
        <w:jc w:val="both"/>
        <w:rPr>
          <w:rFonts w:ascii="David" w:hAnsi="David" w:cs="David"/>
          <w:color w:val="1F1F1F"/>
          <w:sz w:val="24"/>
          <w:szCs w:val="24"/>
          <w:shd w:val="clear" w:color="auto" w:fill="FFFFFF"/>
        </w:rPr>
      </w:pPr>
      <w:r w:rsidRPr="008E504C">
        <w:rPr>
          <w:rFonts w:ascii="David" w:hAnsi="David" w:cs="David"/>
          <w:sz w:val="24"/>
          <w:szCs w:val="24"/>
          <w:rtl/>
        </w:rPr>
        <w:t xml:space="preserve">כמו כן, מאז שנות ה-80 התרחבה והעמיקה באופן משמעותי ההסדרה של רשויות ציבוריות ופעילותן – הסדרים בתחום השלטון המקומי, בתחומי תכנון ובניה, איכות הסביבה, התקשורת, הקמת תאגידים סטטוטוריים ועוד. התפתחות זו הביאה את האזרח לפנות </w:t>
      </w:r>
      <w:r w:rsidRPr="008E504C">
        <w:rPr>
          <w:rFonts w:ascii="David" w:hAnsi="David" w:cs="David"/>
          <w:color w:val="1F1F1F"/>
          <w:sz w:val="24"/>
          <w:szCs w:val="24"/>
          <w:shd w:val="clear" w:color="auto" w:fill="FFFFFF"/>
          <w:rtl/>
        </w:rPr>
        <w:t>לערכאות משפטיות במקרים בהם הוא נפגע מפעולות הרשויות – הכלי השיפוטי של עילת אי-הסבירות, אשר התפתח בהלכה במרוצת השנים סייע כדי להגביל את פעולות הממשל הקיצוניות שרמסו את האזרחים.</w:t>
      </w:r>
    </w:p>
    <w:p w14:paraId="6F4303B7" w14:textId="77777777" w:rsidR="008E504C" w:rsidRPr="008E504C" w:rsidRDefault="008E504C" w:rsidP="008E504C">
      <w:pPr>
        <w:keepNext/>
        <w:widowControl w:val="0"/>
        <w:numPr>
          <w:ilvl w:val="0"/>
          <w:numId w:val="35"/>
        </w:numPr>
        <w:spacing w:after="80" w:line="360" w:lineRule="auto"/>
        <w:jc w:val="both"/>
        <w:rPr>
          <w:rFonts w:ascii="David" w:hAnsi="David" w:cs="David"/>
          <w:color w:val="1F1F1F"/>
          <w:sz w:val="24"/>
          <w:szCs w:val="24"/>
          <w:shd w:val="clear" w:color="auto" w:fill="FFFFFF"/>
        </w:rPr>
      </w:pPr>
      <w:r w:rsidRPr="008E504C">
        <w:rPr>
          <w:rFonts w:ascii="David" w:hAnsi="David" w:cs="David"/>
          <w:color w:val="1F1F1F"/>
          <w:sz w:val="24"/>
          <w:szCs w:val="24"/>
          <w:shd w:val="clear" w:color="auto" w:fill="FFFFFF"/>
          <w:rtl/>
        </w:rPr>
        <w:t xml:space="preserve">לעמדת התנועה, הניסיון כעת בהצעה לבטל הלכה למעשה את עילת הסבירות נועד כדי לאפשר לרשויות השלטון למנוע ביקורת שיפוטית על פעולות הממשל השונות – ביקורת הכרחית שתכליתה להגן על אזרחי המדינה. </w:t>
      </w:r>
    </w:p>
    <w:p w14:paraId="78F26ED9" w14:textId="77777777" w:rsidR="008E504C" w:rsidRPr="008E504C" w:rsidRDefault="008E504C" w:rsidP="008E504C">
      <w:pPr>
        <w:pStyle w:val="a8"/>
        <w:numPr>
          <w:ilvl w:val="0"/>
          <w:numId w:val="35"/>
        </w:numPr>
        <w:spacing w:before="120"/>
        <w:contextualSpacing w:val="0"/>
        <w:jc w:val="both"/>
        <w:rPr>
          <w:rFonts w:ascii="David" w:hAnsi="David"/>
        </w:rPr>
      </w:pPr>
      <w:r w:rsidRPr="008E504C">
        <w:rPr>
          <w:rFonts w:ascii="David" w:hAnsi="David"/>
          <w:rtl/>
        </w:rPr>
        <w:t>פרופ' יצחק זמיר, שופט בית המשפט העליון לשעבר, ביטא את הצורך בביקורת השיפוטית הנ"ל:</w:t>
      </w:r>
      <w:r w:rsidRPr="008E504C">
        <w:rPr>
          <w:rStyle w:val="ab"/>
          <w:rFonts w:ascii="David" w:hAnsi="David"/>
          <w:rtl/>
        </w:rPr>
        <w:footnoteReference w:id="7"/>
      </w:r>
      <w:r w:rsidRPr="008E504C">
        <w:rPr>
          <w:rFonts w:ascii="David" w:hAnsi="David"/>
          <w:rtl/>
        </w:rPr>
        <w:t xml:space="preserve"> </w:t>
      </w:r>
    </w:p>
    <w:p w14:paraId="07938647" w14:textId="77777777" w:rsidR="008E504C" w:rsidRPr="008E504C" w:rsidRDefault="008E504C" w:rsidP="008E504C">
      <w:pPr>
        <w:pStyle w:val="a8"/>
        <w:widowControl w:val="0"/>
        <w:spacing w:line="240" w:lineRule="auto"/>
        <w:ind w:left="1077" w:right="851"/>
        <w:contextualSpacing w:val="0"/>
        <w:jc w:val="both"/>
        <w:rPr>
          <w:rFonts w:ascii="David" w:hAnsi="David"/>
          <w:rtl/>
        </w:rPr>
      </w:pPr>
      <w:r w:rsidRPr="008E504C">
        <w:rPr>
          <w:rFonts w:ascii="David" w:hAnsi="David"/>
          <w:rtl/>
        </w:rPr>
        <w:t>"</w:t>
      </w:r>
      <w:r w:rsidRPr="008E504C">
        <w:rPr>
          <w:rFonts w:ascii="David" w:hAnsi="David"/>
          <w:b/>
          <w:bCs/>
          <w:u w:val="single"/>
          <w:rtl/>
        </w:rPr>
        <w:t xml:space="preserve">הביקורת השיפוטית על </w:t>
      </w:r>
      <w:proofErr w:type="spellStart"/>
      <w:r w:rsidRPr="008E504C">
        <w:rPr>
          <w:rFonts w:ascii="David" w:hAnsi="David"/>
          <w:b/>
          <w:bCs/>
          <w:u w:val="single"/>
          <w:rtl/>
        </w:rPr>
        <w:t>המינהל</w:t>
      </w:r>
      <w:proofErr w:type="spellEnd"/>
      <w:r w:rsidRPr="008E504C">
        <w:rPr>
          <w:rFonts w:ascii="David" w:hAnsi="David"/>
          <w:b/>
          <w:bCs/>
          <w:u w:val="single"/>
          <w:rtl/>
        </w:rPr>
        <w:t xml:space="preserve"> הציבורי היא פועל יוצא מעקרונות היסוד של מדינה דמוקרטית. היא נובעת, קודם כל, מן התורה של הפרדת רשויות במובן המודרני של בלמים ואיזונים</w:t>
      </w:r>
      <w:r w:rsidRPr="008E504C">
        <w:rPr>
          <w:rFonts w:ascii="David" w:hAnsi="David"/>
          <w:b/>
          <w:bCs/>
          <w:rtl/>
        </w:rPr>
        <w:t>: הביקורת של הרשות השופטת על הרשות המבצעת הכרחית כדי למנוע שימוש לרעה בכוח ופגיעה בחירות שלא כדין</w:t>
      </w:r>
      <w:r w:rsidRPr="008E504C">
        <w:rPr>
          <w:rFonts w:ascii="David" w:hAnsi="David"/>
          <w:rtl/>
        </w:rPr>
        <w:t xml:space="preserve">. כדברי בית המשפט, "ללא ביקורת שיפוטית על הרשות המבצעת מתערערת הפרדת הרשויות. עמה נפגמת חירות האדם ונפגמים היסודות של משטר חופשי. </w:t>
      </w:r>
      <w:r w:rsidRPr="008E504C">
        <w:rPr>
          <w:rFonts w:ascii="David" w:hAnsi="David"/>
          <w:b/>
          <w:bCs/>
          <w:rtl/>
        </w:rPr>
        <w:t xml:space="preserve">הביקורת הכרחית גם כדי לקיים את העיקרון של חוקיות </w:t>
      </w:r>
      <w:proofErr w:type="spellStart"/>
      <w:r w:rsidRPr="008E504C">
        <w:rPr>
          <w:rFonts w:ascii="David" w:hAnsi="David"/>
          <w:b/>
          <w:bCs/>
          <w:rtl/>
        </w:rPr>
        <w:t>המינהל</w:t>
      </w:r>
      <w:proofErr w:type="spellEnd"/>
      <w:r w:rsidRPr="008E504C">
        <w:rPr>
          <w:rFonts w:ascii="David" w:hAnsi="David"/>
          <w:b/>
          <w:bCs/>
          <w:rtl/>
        </w:rPr>
        <w:t>: כדי להבטיח שהרשות המנהלית תפעל בהתאם לעקרון זה, נדרש גוף חיצוני שיוכל לבדוק את החלטת הרשות לפסול אותה אם פעלה בניגוד לעיקרון, ואין גוף מתאים לכך אלא בית המשפט</w:t>
      </w:r>
      <w:r w:rsidRPr="008E504C">
        <w:rPr>
          <w:rFonts w:ascii="David" w:hAnsi="David"/>
          <w:rtl/>
        </w:rPr>
        <w:t>...</w:t>
      </w:r>
    </w:p>
    <w:p w14:paraId="4193069E" w14:textId="77777777" w:rsidR="008E504C" w:rsidRPr="008E504C" w:rsidRDefault="008E504C" w:rsidP="008E504C">
      <w:pPr>
        <w:pStyle w:val="a8"/>
        <w:widowControl w:val="0"/>
        <w:spacing w:after="120" w:line="240" w:lineRule="auto"/>
        <w:ind w:left="1077" w:right="851"/>
        <w:contextualSpacing w:val="0"/>
        <w:jc w:val="both"/>
        <w:rPr>
          <w:rFonts w:ascii="David" w:hAnsi="David"/>
          <w:rtl/>
        </w:rPr>
      </w:pPr>
      <w:r w:rsidRPr="008E504C">
        <w:rPr>
          <w:rFonts w:ascii="David" w:hAnsi="David"/>
          <w:b/>
          <w:bCs/>
          <w:u w:val="single"/>
          <w:rtl/>
        </w:rPr>
        <w:t>הביקורת השיפוטית לא נועדה לשרת רק עקרונות, ובראשם העיקרון של שלטון החוק, אלא היא מכוונת לשרת, בראש ובראשונה, את האדם</w:t>
      </w:r>
      <w:r w:rsidRPr="008E504C">
        <w:rPr>
          <w:rFonts w:ascii="David" w:hAnsi="David"/>
          <w:rtl/>
        </w:rPr>
        <w:t xml:space="preserve">. </w:t>
      </w:r>
      <w:r w:rsidRPr="008E504C">
        <w:rPr>
          <w:rFonts w:ascii="David" w:hAnsi="David"/>
          <w:b/>
          <w:bCs/>
          <w:rtl/>
        </w:rPr>
        <w:t>לצורך זה, בית המשפט מטיל על הרשות המנהלית מגבלות שונות, כגון שתפעל באופן סביר ובמידה ראויה, ופוסל החלטות מנהליות שאינן עומדות במבחן המגבלות.</w:t>
      </w:r>
      <w:r w:rsidRPr="008E504C">
        <w:rPr>
          <w:rFonts w:ascii="David" w:hAnsi="David"/>
          <w:rtl/>
        </w:rPr>
        <w:t>" [ההדגשות הוספו].</w:t>
      </w:r>
    </w:p>
    <w:p w14:paraId="4071B769" w14:textId="77777777" w:rsidR="008E504C" w:rsidRPr="008E504C" w:rsidRDefault="008E504C" w:rsidP="008E504C">
      <w:pPr>
        <w:keepNext/>
        <w:widowControl w:val="0"/>
        <w:numPr>
          <w:ilvl w:val="0"/>
          <w:numId w:val="35"/>
        </w:numPr>
        <w:spacing w:after="80" w:line="360" w:lineRule="auto"/>
        <w:jc w:val="both"/>
        <w:rPr>
          <w:rFonts w:ascii="David" w:hAnsi="David" w:cs="David"/>
          <w:color w:val="1F1F1F"/>
          <w:sz w:val="24"/>
          <w:szCs w:val="24"/>
          <w:shd w:val="clear" w:color="auto" w:fill="FFFFFF"/>
        </w:rPr>
      </w:pPr>
      <w:r w:rsidRPr="008E504C">
        <w:rPr>
          <w:rFonts w:ascii="David" w:hAnsi="David" w:cs="David"/>
          <w:color w:val="1F1F1F"/>
          <w:sz w:val="24"/>
          <w:szCs w:val="24"/>
          <w:shd w:val="clear" w:color="auto" w:fill="FFFFFF"/>
          <w:rtl/>
        </w:rPr>
        <w:t>אם כן, כדי להגן משרירות פעולות השלטון ולקדם מנהל תקין עושה בית המשפט שימוש בעילת הסבירות. כך גם נעשה שימוש בעילת הסבירות כדי להגן על החלשים בחברה, בין אם זה ב</w:t>
      </w:r>
      <w:r w:rsidRPr="008E504C">
        <w:rPr>
          <w:rFonts w:ascii="David" w:hAnsi="David" w:cs="David"/>
          <w:sz w:val="24"/>
          <w:szCs w:val="24"/>
          <w:rtl/>
        </w:rPr>
        <w:t>ע"</w:t>
      </w:r>
      <w:r w:rsidRPr="008E504C">
        <w:rPr>
          <w:rFonts w:ascii="David" w:hAnsi="David" w:cs="David"/>
          <w:color w:val="1F1F1F"/>
          <w:sz w:val="24"/>
          <w:szCs w:val="24"/>
          <w:shd w:val="clear" w:color="auto" w:fill="FFFFFF"/>
          <w:rtl/>
        </w:rPr>
        <w:t xml:space="preserve">פ </w:t>
      </w:r>
      <w:r w:rsidRPr="008E504C">
        <w:rPr>
          <w:rFonts w:ascii="David" w:hAnsi="David" w:cs="David"/>
          <w:color w:val="1F1F1F"/>
          <w:sz w:val="24"/>
          <w:szCs w:val="24"/>
          <w:shd w:val="clear" w:color="auto" w:fill="FFFFFF"/>
          <w:rtl/>
        </w:rPr>
        <w:lastRenderedPageBreak/>
        <w:t xml:space="preserve">3854/02 </w:t>
      </w:r>
      <w:r w:rsidRPr="008E504C">
        <w:rPr>
          <w:rFonts w:ascii="David" w:hAnsi="David" w:cs="David"/>
          <w:b/>
          <w:bCs/>
          <w:color w:val="1F1F1F"/>
          <w:sz w:val="24"/>
          <w:szCs w:val="24"/>
          <w:shd w:val="clear" w:color="auto" w:fill="FFFFFF"/>
          <w:rtl/>
        </w:rPr>
        <w:t>פלוני נ' הוועדה הפסיכיאטרית המחוזית למבוגרים</w:t>
      </w:r>
      <w:r w:rsidRPr="008E504C">
        <w:rPr>
          <w:rFonts w:ascii="David" w:hAnsi="David" w:cs="David"/>
          <w:color w:val="1F1F1F"/>
          <w:sz w:val="24"/>
          <w:szCs w:val="24"/>
          <w:shd w:val="clear" w:color="auto" w:fill="FFFFFF"/>
          <w:rtl/>
        </w:rPr>
        <w:t xml:space="preserve">, פ"ד </w:t>
      </w:r>
      <w:proofErr w:type="spellStart"/>
      <w:r w:rsidRPr="008E504C">
        <w:rPr>
          <w:rFonts w:ascii="David" w:hAnsi="David" w:cs="David"/>
          <w:color w:val="1F1F1F"/>
          <w:sz w:val="24"/>
          <w:szCs w:val="24"/>
          <w:shd w:val="clear" w:color="auto" w:fill="FFFFFF"/>
          <w:rtl/>
        </w:rPr>
        <w:t>נז</w:t>
      </w:r>
      <w:proofErr w:type="spellEnd"/>
      <w:r w:rsidRPr="008E504C">
        <w:rPr>
          <w:rFonts w:ascii="David" w:hAnsi="David" w:cs="David"/>
          <w:color w:val="1F1F1F"/>
          <w:sz w:val="24"/>
          <w:szCs w:val="24"/>
          <w:shd w:val="clear" w:color="auto" w:fill="FFFFFF"/>
          <w:rtl/>
        </w:rPr>
        <w:t xml:space="preserve">(1) 900 (2003), שם נפסל אשפוזו של נאשם חולה נפש למשך תקופה החורגת ממשך המאסר המירבי שניתן היה להשית עליו בשל זכותו לחירות אישית; בבג"ץ 8397/06 </w:t>
      </w:r>
      <w:proofErr w:type="spellStart"/>
      <w:r w:rsidRPr="008E504C">
        <w:rPr>
          <w:rFonts w:ascii="David" w:hAnsi="David" w:cs="David"/>
          <w:b/>
          <w:bCs/>
          <w:color w:val="1F1F1F"/>
          <w:sz w:val="24"/>
          <w:szCs w:val="24"/>
          <w:shd w:val="clear" w:color="auto" w:fill="FFFFFF"/>
          <w:rtl/>
        </w:rPr>
        <w:t>ווסר</w:t>
      </w:r>
      <w:proofErr w:type="spellEnd"/>
      <w:r w:rsidRPr="008E504C">
        <w:rPr>
          <w:rFonts w:ascii="David" w:hAnsi="David" w:cs="David"/>
          <w:b/>
          <w:bCs/>
          <w:color w:val="1F1F1F"/>
          <w:sz w:val="24"/>
          <w:szCs w:val="24"/>
          <w:shd w:val="clear" w:color="auto" w:fill="FFFFFF"/>
          <w:rtl/>
        </w:rPr>
        <w:t xml:space="preserve"> נ' שר הביטחון,</w:t>
      </w:r>
      <w:r w:rsidRPr="008E504C">
        <w:rPr>
          <w:rFonts w:ascii="David" w:hAnsi="David" w:cs="David"/>
          <w:color w:val="1F1F1F"/>
          <w:sz w:val="24"/>
          <w:szCs w:val="24"/>
          <w:shd w:val="clear" w:color="auto" w:fill="FFFFFF"/>
          <w:rtl/>
        </w:rPr>
        <w:t xml:space="preserve"> דינים עליון פג 479 (2007), שם הוטלה החובה על המדינה למגן במיגון מלא את בתי הספר בשדרות; </w:t>
      </w:r>
      <w:proofErr w:type="spellStart"/>
      <w:r w:rsidRPr="008E504C">
        <w:rPr>
          <w:rFonts w:ascii="David" w:hAnsi="David" w:cs="David"/>
          <w:color w:val="1F1F1F"/>
          <w:sz w:val="24"/>
          <w:szCs w:val="24"/>
          <w:shd w:val="clear" w:color="auto" w:fill="FFFFFF"/>
          <w:rtl/>
        </w:rPr>
        <w:t>בעע"מ</w:t>
      </w:r>
      <w:proofErr w:type="spellEnd"/>
      <w:r w:rsidRPr="008E504C">
        <w:rPr>
          <w:rFonts w:ascii="David" w:hAnsi="David" w:cs="David"/>
          <w:color w:val="1F1F1F"/>
          <w:sz w:val="24"/>
          <w:szCs w:val="24"/>
          <w:shd w:val="clear" w:color="auto" w:fill="FFFFFF"/>
          <w:rtl/>
        </w:rPr>
        <w:t xml:space="preserve"> 5634/09 </w:t>
      </w:r>
      <w:r w:rsidRPr="008E504C">
        <w:rPr>
          <w:rFonts w:ascii="David" w:hAnsi="David" w:cs="David"/>
          <w:b/>
          <w:bCs/>
          <w:color w:val="1F1F1F"/>
          <w:sz w:val="24"/>
          <w:szCs w:val="24"/>
          <w:shd w:val="clear" w:color="auto" w:fill="FFFFFF"/>
          <w:rtl/>
        </w:rPr>
        <w:t>חוסיין ג'לאל נ' עיריית ירושלים</w:t>
      </w:r>
      <w:r w:rsidRPr="008E504C">
        <w:rPr>
          <w:rFonts w:ascii="David" w:hAnsi="David" w:cs="David"/>
          <w:color w:val="1F1F1F"/>
          <w:sz w:val="24"/>
          <w:szCs w:val="24"/>
          <w:shd w:val="clear" w:color="auto" w:fill="FFFFFF"/>
          <w:rtl/>
        </w:rPr>
        <w:t xml:space="preserve"> (נבו 25.08.2009), שם נפסלה החלטה </w:t>
      </w:r>
      <w:proofErr w:type="spellStart"/>
      <w:r w:rsidRPr="008E504C">
        <w:rPr>
          <w:rFonts w:ascii="David" w:hAnsi="David" w:cs="David"/>
          <w:color w:val="1F1F1F"/>
          <w:sz w:val="24"/>
          <w:szCs w:val="24"/>
          <w:shd w:val="clear" w:color="auto" w:fill="FFFFFF"/>
          <w:rtl/>
        </w:rPr>
        <w:t>שאיפשרה</w:t>
      </w:r>
      <w:proofErr w:type="spellEnd"/>
      <w:r w:rsidRPr="008E504C">
        <w:rPr>
          <w:rFonts w:ascii="David" w:hAnsi="David" w:cs="David"/>
          <w:color w:val="1F1F1F"/>
          <w:sz w:val="24"/>
          <w:szCs w:val="24"/>
          <w:shd w:val="clear" w:color="auto" w:fill="FFFFFF"/>
          <w:rtl/>
        </w:rPr>
        <w:t xml:space="preserve"> למקם בית ספר יסודי בסמוך למפעל מתכות מזהם; בג"ץ 4541/94 </w:t>
      </w:r>
      <w:r w:rsidRPr="008E504C">
        <w:rPr>
          <w:rFonts w:ascii="David" w:hAnsi="David" w:cs="David"/>
          <w:b/>
          <w:bCs/>
          <w:color w:val="1F1F1F"/>
          <w:sz w:val="24"/>
          <w:szCs w:val="24"/>
          <w:shd w:val="clear" w:color="auto" w:fill="FFFFFF"/>
          <w:rtl/>
        </w:rPr>
        <w:t>אליס מילר נ' שר הביטחון</w:t>
      </w:r>
      <w:r w:rsidRPr="008E504C">
        <w:rPr>
          <w:rFonts w:ascii="David" w:hAnsi="David" w:cs="David"/>
          <w:color w:val="1F1F1F"/>
          <w:sz w:val="24"/>
          <w:szCs w:val="24"/>
          <w:shd w:val="clear" w:color="auto" w:fill="FFFFFF"/>
          <w:rtl/>
        </w:rPr>
        <w:t>, פ"ד מט(4) 94 (1995), שם נקבע שאין הצדקה למנוע מנשים להגיש מועמדות לקורס טיס בצה"ל.</w:t>
      </w:r>
    </w:p>
    <w:p w14:paraId="146AEE3E" w14:textId="183FA638" w:rsidR="00D414AC" w:rsidRPr="00841C62" w:rsidRDefault="008E504C" w:rsidP="008E504C">
      <w:pPr>
        <w:numPr>
          <w:ilvl w:val="0"/>
          <w:numId w:val="35"/>
        </w:numPr>
        <w:spacing w:after="120" w:line="360" w:lineRule="auto"/>
        <w:jc w:val="both"/>
        <w:rPr>
          <w:rFonts w:ascii="David" w:hAnsi="David" w:cs="David"/>
          <w:b/>
          <w:bCs/>
          <w:sz w:val="24"/>
          <w:szCs w:val="24"/>
        </w:rPr>
      </w:pPr>
      <w:r w:rsidRPr="00841C62">
        <w:rPr>
          <w:rFonts w:ascii="David" w:hAnsi="David" w:cs="David"/>
          <w:b/>
          <w:bCs/>
          <w:color w:val="1F1F1F"/>
          <w:sz w:val="24"/>
          <w:szCs w:val="24"/>
          <w:shd w:val="clear" w:color="auto" w:fill="FFFFFF"/>
          <w:rtl/>
        </w:rPr>
        <w:t>הנה כי כן, עילת הסבירות היא כלי הכרחי וחשוב בביקורת השיפוטית על פעולות הממשל השונות – צמצומה של העילה, או ביטולה הלכה למעשה – יפגעו בראש ובראשונה באזרחים הזקוקים להגנה מפני דורסנות פעולות הממשל השונות.</w:t>
      </w:r>
    </w:p>
    <w:p w14:paraId="6CF6DAC7" w14:textId="77777777" w:rsidR="00DF47AB" w:rsidRDefault="00841C62" w:rsidP="00DF47AB">
      <w:pPr>
        <w:numPr>
          <w:ilvl w:val="0"/>
          <w:numId w:val="35"/>
        </w:numPr>
        <w:spacing w:after="120" w:line="360" w:lineRule="auto"/>
        <w:ind w:left="357" w:hanging="357"/>
        <w:jc w:val="both"/>
        <w:rPr>
          <w:rFonts w:ascii="David" w:hAnsi="David" w:cs="David"/>
          <w:b/>
          <w:bCs/>
          <w:sz w:val="24"/>
          <w:szCs w:val="24"/>
        </w:rPr>
      </w:pPr>
      <w:r w:rsidRPr="00DF47AB">
        <w:rPr>
          <w:rFonts w:ascii="David" w:hAnsi="David" w:cs="David" w:hint="cs"/>
          <w:b/>
          <w:bCs/>
          <w:sz w:val="24"/>
          <w:szCs w:val="24"/>
          <w:rtl/>
        </w:rPr>
        <w:t xml:space="preserve">כאמור, אנו סבורים כי כל ניסיון מטעמכם לבטל, או לצמצם </w:t>
      </w:r>
      <w:r w:rsidR="00DF47AB" w:rsidRPr="00DF47AB">
        <w:rPr>
          <w:rFonts w:ascii="David" w:hAnsi="David" w:cs="David" w:hint="cs"/>
          <w:b/>
          <w:bCs/>
          <w:sz w:val="24"/>
          <w:szCs w:val="24"/>
          <w:rtl/>
        </w:rPr>
        <w:t xml:space="preserve">עילת הסבירות הוא בעייתי במיוחד ופוגעני וכמוהו ביטול וצמצום </w:t>
      </w:r>
      <w:r w:rsidRPr="00DF47AB">
        <w:rPr>
          <w:rFonts w:ascii="David" w:hAnsi="David" w:cs="David" w:hint="cs"/>
          <w:b/>
          <w:bCs/>
          <w:sz w:val="24"/>
          <w:szCs w:val="24"/>
          <w:rtl/>
        </w:rPr>
        <w:t>ההגנה על האזרחים</w:t>
      </w:r>
      <w:r w:rsidR="00DF47AB" w:rsidRPr="00DF47AB">
        <w:rPr>
          <w:rFonts w:ascii="David" w:hAnsi="David" w:cs="David" w:hint="cs"/>
          <w:b/>
          <w:bCs/>
          <w:sz w:val="24"/>
          <w:szCs w:val="24"/>
          <w:rtl/>
        </w:rPr>
        <w:t>.</w:t>
      </w:r>
    </w:p>
    <w:p w14:paraId="65427D5E" w14:textId="60D94C9C" w:rsidR="00CE2B0F" w:rsidRPr="00DF47AB" w:rsidRDefault="00DF47AB" w:rsidP="00DF47AB">
      <w:pPr>
        <w:numPr>
          <w:ilvl w:val="0"/>
          <w:numId w:val="35"/>
        </w:numPr>
        <w:spacing w:after="120" w:line="360" w:lineRule="auto"/>
        <w:ind w:left="357" w:hanging="357"/>
        <w:jc w:val="both"/>
        <w:rPr>
          <w:rFonts w:ascii="David" w:hAnsi="David" w:cs="David"/>
          <w:b/>
          <w:bCs/>
          <w:sz w:val="24"/>
          <w:szCs w:val="24"/>
        </w:rPr>
      </w:pPr>
      <w:r w:rsidRPr="00DF47AB">
        <w:rPr>
          <w:rFonts w:ascii="David" w:hAnsi="David" w:cs="David" w:hint="cs"/>
          <w:b/>
          <w:bCs/>
          <w:sz w:val="24"/>
          <w:szCs w:val="24"/>
          <w:rtl/>
        </w:rPr>
        <w:t>מכאן, ש-"פשרה" בנושא הזה ממש</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במקום שאין חוקה לישראל </w:t>
      </w:r>
      <w:r>
        <w:rPr>
          <w:rFonts w:ascii="David" w:hAnsi="David" w:cs="David"/>
          <w:b/>
          <w:bCs/>
          <w:sz w:val="24"/>
          <w:szCs w:val="24"/>
          <w:rtl/>
        </w:rPr>
        <w:t>–</w:t>
      </w:r>
      <w:r>
        <w:rPr>
          <w:rFonts w:ascii="David" w:hAnsi="David" w:cs="David" w:hint="cs"/>
          <w:b/>
          <w:bCs/>
          <w:sz w:val="24"/>
          <w:szCs w:val="24"/>
          <w:rtl/>
        </w:rPr>
        <w:t xml:space="preserve"> </w:t>
      </w:r>
      <w:r w:rsidRPr="00DF47AB">
        <w:rPr>
          <w:rFonts w:ascii="David" w:hAnsi="David" w:cs="David" w:hint="cs"/>
          <w:b/>
          <w:bCs/>
          <w:sz w:val="24"/>
          <w:szCs w:val="24"/>
          <w:rtl/>
        </w:rPr>
        <w:t xml:space="preserve">עלולה להיות נעדרת כל מנדט ציבורי. </w:t>
      </w:r>
    </w:p>
    <w:p w14:paraId="42D05C82" w14:textId="77777777" w:rsidR="00107D82" w:rsidRDefault="00107D82" w:rsidP="001370C5">
      <w:pPr>
        <w:numPr>
          <w:ilvl w:val="0"/>
          <w:numId w:val="35"/>
        </w:numPr>
        <w:spacing w:after="120" w:line="360" w:lineRule="auto"/>
        <w:ind w:left="357" w:hanging="357"/>
        <w:jc w:val="both"/>
        <w:rPr>
          <w:rFonts w:ascii="David" w:hAnsi="David" w:cs="David"/>
          <w:sz w:val="24"/>
          <w:szCs w:val="24"/>
        </w:rPr>
      </w:pPr>
      <w:r>
        <w:rPr>
          <w:rFonts w:ascii="David" w:hAnsi="David" w:cs="David" w:hint="cs"/>
          <w:sz w:val="24"/>
          <w:szCs w:val="24"/>
          <w:rtl/>
        </w:rPr>
        <w:t>לתשובתכם המהירה, נודה.</w:t>
      </w:r>
    </w:p>
    <w:p w14:paraId="4E79CD81" w14:textId="77777777" w:rsidR="00785ED7" w:rsidRDefault="00785ED7" w:rsidP="001370C5">
      <w:pPr>
        <w:spacing w:after="0" w:line="360" w:lineRule="auto"/>
        <w:jc w:val="both"/>
        <w:rPr>
          <w:rFonts w:ascii="David" w:hAnsi="David" w:cs="David"/>
          <w:sz w:val="24"/>
          <w:szCs w:val="24"/>
          <w:rtl/>
        </w:rPr>
      </w:pPr>
    </w:p>
    <w:p w14:paraId="31CDA561" w14:textId="040C844A" w:rsidR="00CB6640" w:rsidRDefault="00CB6640" w:rsidP="00CB6640">
      <w:pPr>
        <w:tabs>
          <w:tab w:val="left" w:pos="6684"/>
        </w:tabs>
        <w:spacing w:line="360" w:lineRule="auto"/>
        <w:ind w:left="3260"/>
        <w:rPr>
          <w:rFonts w:ascii="David" w:hAnsi="David" w:cs="David"/>
          <w:sz w:val="24"/>
          <w:szCs w:val="24"/>
        </w:rPr>
      </w:pPr>
      <w:r>
        <w:rPr>
          <w:rFonts w:ascii="David" w:hAnsi="David" w:cs="David" w:hint="cs"/>
          <w:sz w:val="24"/>
          <w:szCs w:val="24"/>
          <w:rtl/>
        </w:rPr>
        <w:t xml:space="preserve">     בכבוד רב,</w:t>
      </w:r>
    </w:p>
    <w:p w14:paraId="394E5A13" w14:textId="4202F422" w:rsidR="00CB6640" w:rsidRPr="000C67E2" w:rsidRDefault="00841C62" w:rsidP="00CB6640">
      <w:pPr>
        <w:spacing w:after="120" w:line="360" w:lineRule="auto"/>
        <w:ind w:left="368"/>
        <w:jc w:val="both"/>
        <w:rPr>
          <w:rFonts w:ascii="David" w:hAnsi="David" w:cs="David" w:hint="cs"/>
          <w:szCs w:val="24"/>
          <w:rtl/>
        </w:rPr>
      </w:pPr>
      <w:r>
        <w:rPr>
          <w:rFonts w:ascii="David" w:hAnsi="David" w:cs="David" w:hint="cs"/>
          <w:noProof/>
          <w:szCs w:val="24"/>
          <w:rtl/>
          <w:lang w:val="he-IL"/>
        </w:rPr>
        <w:drawing>
          <wp:anchor distT="0" distB="0" distL="114300" distR="114300" simplePos="0" relativeHeight="251658240" behindDoc="1" locked="0" layoutInCell="1" allowOverlap="1" wp14:anchorId="0FBA402E" wp14:editId="465D090D">
            <wp:simplePos x="0" y="0"/>
            <wp:positionH relativeFrom="column">
              <wp:posOffset>3829050</wp:posOffset>
            </wp:positionH>
            <wp:positionV relativeFrom="paragraph">
              <wp:posOffset>87141</wp:posOffset>
            </wp:positionV>
            <wp:extent cx="1464782" cy="454660"/>
            <wp:effectExtent l="0" t="0" r="2540" b="2540"/>
            <wp:wrapNone/>
            <wp:docPr id="198837817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78175" name="תמונה 19883781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782" cy="454660"/>
                    </a:xfrm>
                    <a:prstGeom prst="rect">
                      <a:avLst/>
                    </a:prstGeom>
                  </pic:spPr>
                </pic:pic>
              </a:graphicData>
            </a:graphic>
            <wp14:sizeRelH relativeFrom="margin">
              <wp14:pctWidth>0</wp14:pctWidth>
            </wp14:sizeRelH>
            <wp14:sizeRelV relativeFrom="margin">
              <wp14:pctHeight>0</wp14:pctHeight>
            </wp14:sizeRelV>
          </wp:anchor>
        </w:drawing>
      </w:r>
      <w:r>
        <w:rPr>
          <w:rFonts w:ascii="David" w:hAnsi="David" w:cs="David" w:hint="cs"/>
          <w:noProof/>
          <w:szCs w:val="24"/>
          <w:rtl/>
          <w:lang w:val="he-IL"/>
        </w:rPr>
        <w:drawing>
          <wp:anchor distT="0" distB="0" distL="114300" distR="114300" simplePos="0" relativeHeight="251660288" behindDoc="1" locked="0" layoutInCell="1" allowOverlap="1" wp14:anchorId="66F0B777" wp14:editId="2178B282">
            <wp:simplePos x="0" y="0"/>
            <wp:positionH relativeFrom="column">
              <wp:posOffset>771525</wp:posOffset>
            </wp:positionH>
            <wp:positionV relativeFrom="paragraph">
              <wp:posOffset>10795</wp:posOffset>
            </wp:positionV>
            <wp:extent cx="1771650" cy="550266"/>
            <wp:effectExtent l="0" t="0" r="0" b="2540"/>
            <wp:wrapNone/>
            <wp:docPr id="707210004" name="תמונה 707210004" descr="תמונה שמכילה כתב יד, שרטוט, ק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10004" name="תמונה 707210004" descr="תמונה שמכילה כתב יד, שרטוט, קו&#10;&#10;התיאור נוצר באופן אוטומטי"/>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550266"/>
                    </a:xfrm>
                    <a:prstGeom prst="rect">
                      <a:avLst/>
                    </a:prstGeom>
                  </pic:spPr>
                </pic:pic>
              </a:graphicData>
            </a:graphic>
            <wp14:sizeRelH relativeFrom="margin">
              <wp14:pctWidth>0</wp14:pctWidth>
            </wp14:sizeRelH>
            <wp14:sizeRelV relativeFrom="margin">
              <wp14:pctHeight>0</wp14:pctHeight>
            </wp14:sizeRelV>
          </wp:anchor>
        </w:drawing>
      </w:r>
    </w:p>
    <w:p w14:paraId="0DE24A98" w14:textId="5F079C45" w:rsidR="00CB6640" w:rsidRPr="000C67E2" w:rsidRDefault="00CB6640" w:rsidP="00CB6640">
      <w:pPr>
        <w:spacing w:after="0" w:line="240" w:lineRule="auto"/>
        <w:jc w:val="both"/>
        <w:rPr>
          <w:rFonts w:ascii="David" w:hAnsi="David" w:cs="David"/>
          <w:sz w:val="24"/>
          <w:szCs w:val="24"/>
          <w:rtl/>
        </w:rPr>
      </w:pPr>
      <w:r w:rsidRPr="000C67E2">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 xml:space="preserve">      </w:t>
      </w:r>
      <w:r>
        <w:rPr>
          <w:rFonts w:ascii="David" w:hAnsi="David" w:cs="David"/>
          <w:sz w:val="24"/>
          <w:szCs w:val="24"/>
          <w:rtl/>
        </w:rPr>
        <w:tab/>
      </w:r>
      <w:r w:rsidRPr="000C67E2">
        <w:rPr>
          <w:rFonts w:ascii="David" w:hAnsi="David" w:cs="David"/>
          <w:sz w:val="24"/>
          <w:szCs w:val="24"/>
          <w:rtl/>
        </w:rPr>
        <w:tab/>
      </w:r>
      <w:r w:rsidRPr="000C67E2">
        <w:rPr>
          <w:rFonts w:ascii="David" w:hAnsi="David" w:cs="David" w:hint="cs"/>
          <w:sz w:val="24"/>
          <w:szCs w:val="24"/>
          <w:rtl/>
        </w:rPr>
        <w:t xml:space="preserve">   </w:t>
      </w:r>
    </w:p>
    <w:p w14:paraId="3D546BD5" w14:textId="2AB12AD4" w:rsidR="00CB6640" w:rsidRDefault="00CB6640" w:rsidP="00CB6640">
      <w:pPr>
        <w:spacing w:after="0" w:line="240" w:lineRule="auto"/>
        <w:ind w:hanging="1"/>
        <w:jc w:val="both"/>
        <w:rPr>
          <w:rFonts w:ascii="David" w:hAnsi="David" w:cs="David"/>
          <w:sz w:val="24"/>
          <w:szCs w:val="24"/>
          <w:rtl/>
        </w:rPr>
      </w:pPr>
      <w:r>
        <w:rPr>
          <w:rFonts w:ascii="David" w:hAnsi="David" w:cs="David" w:hint="cs"/>
          <w:sz w:val="24"/>
          <w:szCs w:val="24"/>
          <w:rtl/>
        </w:rPr>
        <w:t xml:space="preserve">   ב/</w:t>
      </w:r>
      <w:r w:rsidRPr="00CB6640">
        <w:rPr>
          <w:rFonts w:ascii="David" w:hAnsi="David" w:cs="David" w:hint="cs"/>
          <w:b/>
          <w:bCs/>
          <w:sz w:val="24"/>
          <w:szCs w:val="24"/>
          <w:rtl/>
        </w:rPr>
        <w:t>ד"ר אליעד שרגא, עו"ד</w:t>
      </w:r>
      <w:r w:rsidRPr="00CB6640">
        <w:rPr>
          <w:rFonts w:ascii="David" w:hAnsi="David" w:cs="David"/>
          <w:b/>
          <w:bCs/>
          <w:sz w:val="24"/>
          <w:szCs w:val="24"/>
          <w:rtl/>
        </w:rPr>
        <w:tab/>
      </w:r>
      <w:r w:rsidRPr="000C67E2">
        <w:rPr>
          <w:rFonts w:ascii="David" w:hAnsi="David" w:cs="David"/>
          <w:sz w:val="24"/>
          <w:szCs w:val="24"/>
          <w:rtl/>
        </w:rPr>
        <w:tab/>
      </w:r>
      <w:r w:rsidRPr="000C67E2">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sidRPr="000C67E2">
        <w:rPr>
          <w:rFonts w:ascii="David" w:hAnsi="David" w:cs="David" w:hint="cs"/>
          <w:sz w:val="24"/>
          <w:szCs w:val="24"/>
          <w:rtl/>
        </w:rPr>
        <w:t xml:space="preserve"> </w:t>
      </w:r>
      <w:r>
        <w:rPr>
          <w:rFonts w:ascii="David" w:hAnsi="David" w:cs="David" w:hint="cs"/>
          <w:sz w:val="24"/>
          <w:szCs w:val="24"/>
          <w:rtl/>
        </w:rPr>
        <w:t xml:space="preserve">          </w:t>
      </w:r>
      <w:r w:rsidR="00841C62">
        <w:rPr>
          <w:rFonts w:ascii="David" w:hAnsi="David" w:cs="David" w:hint="cs"/>
          <w:b/>
          <w:bCs/>
          <w:sz w:val="24"/>
          <w:szCs w:val="24"/>
          <w:rtl/>
        </w:rPr>
        <w:t>הידי נגב</w:t>
      </w:r>
      <w:r w:rsidRPr="00CB6640">
        <w:rPr>
          <w:rFonts w:ascii="David" w:hAnsi="David" w:cs="David" w:hint="cs"/>
          <w:b/>
          <w:bCs/>
          <w:sz w:val="24"/>
          <w:szCs w:val="24"/>
          <w:rtl/>
        </w:rPr>
        <w:t>, עו"ד</w:t>
      </w:r>
      <w:r>
        <w:rPr>
          <w:rFonts w:ascii="David" w:hAnsi="David" w:cs="David" w:hint="cs"/>
          <w:sz w:val="24"/>
          <w:szCs w:val="24"/>
          <w:rtl/>
        </w:rPr>
        <w:t xml:space="preserve">  </w:t>
      </w:r>
    </w:p>
    <w:p w14:paraId="6AB99036" w14:textId="3281613D" w:rsidR="00CB6640" w:rsidRPr="000C67E2" w:rsidRDefault="00CB6640" w:rsidP="00CB6640">
      <w:pPr>
        <w:spacing w:after="0" w:line="240" w:lineRule="auto"/>
        <w:ind w:hanging="284"/>
        <w:jc w:val="both"/>
        <w:rPr>
          <w:rFonts w:ascii="David" w:hAnsi="David" w:cs="David"/>
          <w:sz w:val="24"/>
          <w:szCs w:val="24"/>
          <w:rtl/>
        </w:rPr>
      </w:pPr>
      <w:r>
        <w:rPr>
          <w:rFonts w:ascii="David" w:hAnsi="David" w:cs="David" w:hint="cs"/>
          <w:sz w:val="24"/>
          <w:szCs w:val="24"/>
          <w:rtl/>
        </w:rPr>
        <w:t xml:space="preserve">   יו"ר התנועה למען איכות השלטון</w:t>
      </w:r>
      <w:r>
        <w:rPr>
          <w:rFonts w:ascii="David" w:hAnsi="David" w:cs="David"/>
          <w:sz w:val="24"/>
          <w:szCs w:val="24"/>
          <w:rtl/>
        </w:rPr>
        <w:tab/>
      </w:r>
      <w:r>
        <w:rPr>
          <w:rFonts w:ascii="David" w:hAnsi="David" w:cs="David"/>
          <w:sz w:val="24"/>
          <w:szCs w:val="24"/>
          <w:rtl/>
        </w:rPr>
        <w:tab/>
      </w:r>
      <w:r w:rsidR="00841C62">
        <w:rPr>
          <w:rFonts w:ascii="David" w:hAnsi="David" w:cs="David"/>
          <w:sz w:val="24"/>
          <w:szCs w:val="24"/>
          <w:rtl/>
        </w:rPr>
        <w:tab/>
      </w:r>
      <w:r w:rsidR="00841C62">
        <w:rPr>
          <w:rFonts w:ascii="David" w:hAnsi="David" w:cs="David" w:hint="cs"/>
          <w:sz w:val="24"/>
          <w:szCs w:val="24"/>
          <w:rtl/>
        </w:rPr>
        <w:t xml:space="preserve">          </w:t>
      </w:r>
      <w:r>
        <w:rPr>
          <w:rFonts w:ascii="David" w:hAnsi="David" w:cs="David" w:hint="cs"/>
          <w:sz w:val="24"/>
          <w:szCs w:val="24"/>
          <w:rtl/>
        </w:rPr>
        <w:t xml:space="preserve">   </w:t>
      </w:r>
      <w:r w:rsidR="00841C62">
        <w:rPr>
          <w:rFonts w:ascii="David" w:hAnsi="David" w:cs="David" w:hint="cs"/>
          <w:sz w:val="24"/>
          <w:szCs w:val="24"/>
          <w:rtl/>
        </w:rPr>
        <w:t>מנהל מחלקת מדיניות וחקיקה</w:t>
      </w:r>
    </w:p>
    <w:p w14:paraId="6BDE4C8B" w14:textId="77777777" w:rsidR="00CB6640" w:rsidRPr="00785ED7" w:rsidRDefault="00CB6640" w:rsidP="001370C5">
      <w:pPr>
        <w:spacing w:after="0" w:line="360" w:lineRule="auto"/>
        <w:jc w:val="both"/>
        <w:rPr>
          <w:rFonts w:ascii="David" w:hAnsi="David" w:cs="David"/>
          <w:sz w:val="24"/>
          <w:szCs w:val="24"/>
          <w:rtl/>
        </w:rPr>
      </w:pPr>
    </w:p>
    <w:sectPr w:rsidR="00CB6640" w:rsidRPr="00785ED7" w:rsidSect="00CB6640">
      <w:headerReference w:type="default" r:id="rId10"/>
      <w:footerReference w:type="default" r:id="rId11"/>
      <w:pgSz w:w="11906" w:h="16838"/>
      <w:pgMar w:top="2410" w:right="1800" w:bottom="1440" w:left="1800" w:header="708" w:footer="24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368C" w14:textId="77777777" w:rsidR="000F7488" w:rsidRDefault="000F7488" w:rsidP="0098621C">
      <w:pPr>
        <w:spacing w:after="0" w:line="240" w:lineRule="auto"/>
      </w:pPr>
      <w:r>
        <w:separator/>
      </w:r>
    </w:p>
  </w:endnote>
  <w:endnote w:type="continuationSeparator" w:id="0">
    <w:p w14:paraId="64757222" w14:textId="77777777" w:rsidR="000F7488" w:rsidRDefault="000F7488" w:rsidP="0098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C3D1" w14:textId="77777777" w:rsidR="004E3295" w:rsidRDefault="004E3295" w:rsidP="007A2DF9">
    <w:pPr>
      <w:pStyle w:val="a5"/>
      <w:rPr>
        <w:rFonts w:ascii="David" w:hAnsi="David" w:cs="David"/>
        <w:color w:val="008000"/>
        <w:sz w:val="18"/>
        <w:szCs w:val="18"/>
        <w:rtl/>
      </w:rPr>
    </w:pPr>
  </w:p>
  <w:p w14:paraId="7820FB92" w14:textId="77777777" w:rsidR="0098621C" w:rsidRPr="0098621C" w:rsidRDefault="0098621C" w:rsidP="007A2DF9">
    <w:pPr>
      <w:pStyle w:val="a5"/>
      <w:rPr>
        <w:rFonts w:ascii="David" w:hAnsi="David" w:cs="David"/>
        <w:color w:val="008000"/>
        <w:sz w:val="18"/>
        <w:szCs w:val="18"/>
        <w:rtl/>
      </w:rPr>
    </w:pPr>
    <w:r w:rsidRPr="0098621C">
      <w:rPr>
        <w:rFonts w:ascii="David" w:hAnsi="David" w:cs="David"/>
        <w:color w:val="008000"/>
        <w:sz w:val="18"/>
        <w:szCs w:val="18"/>
        <w:rtl/>
      </w:rPr>
      <w:t xml:space="preserve">           רח' יפו 208, ירושלים 94383</w:t>
    </w:r>
    <w:r w:rsidR="00471FE7">
      <w:rPr>
        <w:rFonts w:ascii="David" w:hAnsi="David" w:cs="David" w:hint="cs"/>
        <w:color w:val="008000"/>
        <w:sz w:val="18"/>
        <w:szCs w:val="18"/>
        <w:rtl/>
      </w:rPr>
      <w:t>03</w:t>
    </w:r>
    <w:r w:rsidRPr="0098621C">
      <w:rPr>
        <w:rFonts w:ascii="David" w:hAnsi="David" w:cs="David"/>
        <w:color w:val="008000"/>
        <w:sz w:val="18"/>
        <w:szCs w:val="18"/>
        <w:rtl/>
      </w:rPr>
      <w:t xml:space="preserve"> * מען למכתבים: ת.ד. </w:t>
    </w:r>
    <w:r w:rsidR="00471FE7">
      <w:rPr>
        <w:rFonts w:ascii="David" w:hAnsi="David" w:cs="David" w:hint="cs"/>
        <w:color w:val="008000"/>
        <w:sz w:val="18"/>
        <w:szCs w:val="18"/>
        <w:rtl/>
      </w:rPr>
      <w:t>36504</w:t>
    </w:r>
    <w:r w:rsidRPr="0098621C">
      <w:rPr>
        <w:rFonts w:ascii="David" w:hAnsi="David" w:cs="David"/>
        <w:color w:val="008000"/>
        <w:sz w:val="18"/>
        <w:szCs w:val="18"/>
        <w:rtl/>
      </w:rPr>
      <w:t xml:space="preserve">, ירושלים </w:t>
    </w:r>
    <w:r w:rsidR="00471FE7">
      <w:rPr>
        <w:rFonts w:ascii="David" w:hAnsi="David" w:cs="David" w:hint="cs"/>
        <w:color w:val="008000"/>
        <w:sz w:val="18"/>
        <w:szCs w:val="18"/>
        <w:rtl/>
      </w:rPr>
      <w:t>9136001</w:t>
    </w:r>
    <w:r w:rsidRPr="0098621C">
      <w:rPr>
        <w:rFonts w:ascii="David" w:hAnsi="David" w:cs="David"/>
        <w:color w:val="008000"/>
        <w:sz w:val="18"/>
        <w:szCs w:val="18"/>
        <w:rtl/>
      </w:rPr>
      <w:t xml:space="preserve"> * טל: 02-5000073 פקס: 02-5000076</w:t>
    </w:r>
  </w:p>
  <w:p w14:paraId="245FF74B" w14:textId="77777777" w:rsidR="0098621C" w:rsidRPr="0098621C" w:rsidRDefault="0098621C" w:rsidP="007A2DF9">
    <w:pPr>
      <w:pStyle w:val="a5"/>
      <w:jc w:val="center"/>
      <w:rPr>
        <w:rFonts w:ascii="David" w:hAnsi="David" w:cs="David"/>
        <w:color w:val="008000"/>
        <w:sz w:val="18"/>
        <w:szCs w:val="18"/>
        <w:rtl/>
        <w:lang w:eastAsia="he-IL"/>
      </w:rPr>
    </w:pPr>
    <w:r w:rsidRPr="0098621C">
      <w:rPr>
        <w:rFonts w:ascii="Arial" w:hAnsi="Arial" w:hint="cs"/>
        <w:color w:val="008000"/>
        <w:sz w:val="18"/>
        <w:szCs w:val="18"/>
        <w:rtl/>
        <w:lang w:bidi="ar-LB"/>
      </w:rPr>
      <w:t>شارع</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يافا</w:t>
    </w:r>
    <w:r w:rsidRPr="0098621C">
      <w:rPr>
        <w:rFonts w:ascii="David" w:hAnsi="David" w:cs="David"/>
        <w:color w:val="008000"/>
        <w:sz w:val="18"/>
        <w:szCs w:val="18"/>
        <w:rtl/>
        <w:lang w:eastAsia="he-IL"/>
      </w:rPr>
      <w:t xml:space="preserve"> 208</w:t>
    </w:r>
    <w:r w:rsidRPr="0098621C">
      <w:rPr>
        <w:rFonts w:ascii="Arial" w:hAnsi="Arial" w:hint="cs"/>
        <w:color w:val="008000"/>
        <w:sz w:val="18"/>
        <w:szCs w:val="18"/>
        <w:rtl/>
        <w:lang w:bidi="ar-LB"/>
      </w:rPr>
      <w:t>،</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القدس</w:t>
    </w:r>
    <w:r w:rsidRPr="0098621C">
      <w:rPr>
        <w:rFonts w:ascii="David" w:hAnsi="David" w:cs="David"/>
        <w:color w:val="008000"/>
        <w:sz w:val="18"/>
        <w:szCs w:val="18"/>
        <w:rtl/>
        <w:lang w:eastAsia="he-IL"/>
      </w:rPr>
      <w:t xml:space="preserve"> </w:t>
    </w:r>
    <w:r w:rsidR="00471FE7" w:rsidRPr="0098621C">
      <w:rPr>
        <w:rFonts w:ascii="David" w:hAnsi="David" w:cs="David"/>
        <w:color w:val="008000"/>
        <w:sz w:val="18"/>
        <w:szCs w:val="18"/>
        <w:rtl/>
      </w:rPr>
      <w:t>94383</w:t>
    </w:r>
    <w:r w:rsidR="00471FE7">
      <w:rPr>
        <w:rFonts w:ascii="David" w:hAnsi="David" w:cs="David" w:hint="cs"/>
        <w:color w:val="008000"/>
        <w:sz w:val="18"/>
        <w:szCs w:val="18"/>
        <w:rtl/>
      </w:rPr>
      <w:t>03</w:t>
    </w:r>
    <w:r w:rsidR="00471FE7" w:rsidRPr="0098621C">
      <w:rPr>
        <w:rFonts w:ascii="David" w:hAnsi="David" w:cs="David"/>
        <w:color w:val="008000"/>
        <w:sz w:val="18"/>
        <w:szCs w:val="18"/>
        <w:rtl/>
      </w:rPr>
      <w:t xml:space="preserve"> </w:t>
    </w:r>
    <w:r w:rsidRPr="0098621C">
      <w:rPr>
        <w:rFonts w:ascii="David" w:hAnsi="David" w:cs="David"/>
        <w:color w:val="008000"/>
        <w:sz w:val="18"/>
        <w:szCs w:val="18"/>
        <w:rtl/>
        <w:lang w:eastAsia="he-IL"/>
      </w:rPr>
      <w:t xml:space="preserve"> </w:t>
    </w:r>
    <w:r w:rsidRPr="0098621C">
      <w:rPr>
        <w:rFonts w:ascii="David" w:hAnsi="David" w:cs="David"/>
        <w:color w:val="008000"/>
        <w:sz w:val="18"/>
        <w:szCs w:val="18"/>
      </w:rPr>
      <w:sym w:font="Wingdings" w:char="F09F"/>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العنوان</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للرسائل</w:t>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ص</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ب</w:t>
    </w:r>
    <w:r w:rsidRPr="0098621C">
      <w:rPr>
        <w:rFonts w:ascii="David" w:hAnsi="David" w:cs="David"/>
        <w:color w:val="008000"/>
        <w:sz w:val="18"/>
        <w:szCs w:val="18"/>
        <w:rtl/>
        <w:lang w:eastAsia="he-IL"/>
      </w:rPr>
      <w:t xml:space="preserve">. </w:t>
    </w:r>
    <w:r w:rsidR="00471FE7">
      <w:rPr>
        <w:rFonts w:ascii="David" w:hAnsi="David" w:cs="David" w:hint="cs"/>
        <w:color w:val="008000"/>
        <w:sz w:val="18"/>
        <w:szCs w:val="18"/>
        <w:rtl/>
      </w:rPr>
      <w:t>36504</w:t>
    </w:r>
    <w:r w:rsidRPr="0098621C">
      <w:rPr>
        <w:rFonts w:ascii="Arial" w:hAnsi="Arial" w:hint="cs"/>
        <w:color w:val="008000"/>
        <w:sz w:val="18"/>
        <w:szCs w:val="18"/>
        <w:rtl/>
        <w:lang w:bidi="ar-LB"/>
      </w:rPr>
      <w:t>،</w:t>
    </w:r>
    <w:r w:rsidRPr="0098621C">
      <w:rPr>
        <w:rFonts w:ascii="David" w:hAnsi="David" w:cs="David"/>
        <w:color w:val="008000"/>
        <w:sz w:val="18"/>
        <w:szCs w:val="18"/>
        <w:rtl/>
        <w:lang w:bidi="ar-LB"/>
      </w:rPr>
      <w:t xml:space="preserve"> </w:t>
    </w:r>
    <w:r w:rsidRPr="0098621C">
      <w:rPr>
        <w:rFonts w:ascii="Arial" w:hAnsi="Arial" w:hint="cs"/>
        <w:color w:val="008000"/>
        <w:sz w:val="18"/>
        <w:szCs w:val="18"/>
        <w:rtl/>
        <w:lang w:bidi="ar-LB"/>
      </w:rPr>
      <w:t>القدس</w:t>
    </w:r>
    <w:r w:rsidRPr="0098621C">
      <w:rPr>
        <w:rFonts w:ascii="David" w:hAnsi="David" w:cs="David"/>
        <w:color w:val="008000"/>
        <w:sz w:val="18"/>
        <w:szCs w:val="18"/>
        <w:rtl/>
        <w:lang w:eastAsia="he-IL"/>
      </w:rPr>
      <w:t xml:space="preserve"> </w:t>
    </w:r>
    <w:r w:rsidR="00471FE7">
      <w:rPr>
        <w:rFonts w:ascii="David" w:hAnsi="David" w:cs="David" w:hint="cs"/>
        <w:color w:val="008000"/>
        <w:sz w:val="18"/>
        <w:szCs w:val="18"/>
        <w:rtl/>
      </w:rPr>
      <w:t>9136001</w:t>
    </w:r>
    <w:r w:rsidRPr="0098621C">
      <w:rPr>
        <w:rFonts w:ascii="David" w:hAnsi="David" w:cs="David"/>
        <w:color w:val="008000"/>
        <w:sz w:val="18"/>
        <w:szCs w:val="18"/>
        <w:rtl/>
        <w:lang w:eastAsia="he-IL"/>
      </w:rPr>
      <w:t xml:space="preserve"> </w:t>
    </w:r>
    <w:r w:rsidRPr="0098621C">
      <w:rPr>
        <w:rFonts w:ascii="David" w:hAnsi="David" w:cs="David"/>
        <w:color w:val="008000"/>
        <w:sz w:val="18"/>
        <w:szCs w:val="18"/>
      </w:rPr>
      <w:sym w:font="Wingdings" w:char="F09F"/>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هاتف</w:t>
    </w:r>
    <w:r w:rsidRPr="0098621C">
      <w:rPr>
        <w:rFonts w:ascii="David" w:hAnsi="David" w:cs="David"/>
        <w:color w:val="008000"/>
        <w:sz w:val="18"/>
        <w:szCs w:val="18"/>
        <w:rtl/>
        <w:lang w:eastAsia="he-IL"/>
      </w:rPr>
      <w:t xml:space="preserve">: </w:t>
    </w:r>
    <w:r w:rsidRPr="0098621C">
      <w:rPr>
        <w:rFonts w:ascii="David" w:hAnsi="David" w:cs="David"/>
        <w:color w:val="008000"/>
        <w:sz w:val="18"/>
        <w:szCs w:val="18"/>
        <w:lang w:eastAsia="he-IL"/>
      </w:rPr>
      <w:t>02-5000073</w:t>
    </w:r>
    <w:r w:rsidRPr="0098621C">
      <w:rPr>
        <w:rFonts w:ascii="David" w:hAnsi="David" w:cs="David"/>
        <w:color w:val="008000"/>
        <w:sz w:val="18"/>
        <w:szCs w:val="18"/>
      </w:rPr>
      <w:sym w:font="Wingdings" w:char="F09F"/>
    </w:r>
    <w:r w:rsidRPr="0098621C">
      <w:rPr>
        <w:rFonts w:ascii="David" w:hAnsi="David" w:cs="David"/>
        <w:color w:val="008000"/>
        <w:sz w:val="18"/>
        <w:szCs w:val="18"/>
        <w:rtl/>
        <w:lang w:eastAsia="he-IL"/>
      </w:rPr>
      <w:t xml:space="preserve"> </w:t>
    </w:r>
    <w:r w:rsidRPr="0098621C">
      <w:rPr>
        <w:rFonts w:ascii="Arial" w:hAnsi="Arial" w:hint="cs"/>
        <w:color w:val="008000"/>
        <w:sz w:val="18"/>
        <w:szCs w:val="18"/>
        <w:rtl/>
        <w:lang w:bidi="ar-LB"/>
      </w:rPr>
      <w:t>فاكس</w:t>
    </w:r>
    <w:r w:rsidRPr="0098621C">
      <w:rPr>
        <w:rFonts w:ascii="David" w:hAnsi="David" w:cs="David"/>
        <w:color w:val="008000"/>
        <w:sz w:val="18"/>
        <w:szCs w:val="18"/>
        <w:rtl/>
        <w:lang w:eastAsia="he-IL"/>
      </w:rPr>
      <w:t>: 02-5000076</w:t>
    </w:r>
  </w:p>
  <w:p w14:paraId="109EB76A" w14:textId="77777777" w:rsidR="0098621C" w:rsidRPr="0098621C" w:rsidRDefault="0098621C" w:rsidP="007A2DF9">
    <w:pPr>
      <w:pStyle w:val="a5"/>
      <w:bidi w:val="0"/>
      <w:jc w:val="center"/>
      <w:rPr>
        <w:rFonts w:ascii="David" w:hAnsi="David" w:cs="David"/>
        <w:color w:val="008000"/>
        <w:sz w:val="18"/>
        <w:szCs w:val="18"/>
      </w:rPr>
    </w:pPr>
    <w:smartTag w:uri="urn:schemas-microsoft-com:office:smarttags" w:element="Street">
      <w:r w:rsidRPr="0098621C">
        <w:rPr>
          <w:rFonts w:ascii="David" w:hAnsi="David" w:cs="David"/>
          <w:color w:val="008000"/>
          <w:sz w:val="18"/>
          <w:szCs w:val="18"/>
        </w:rPr>
        <w:t>208 Jaffa St.</w:t>
      </w:r>
    </w:smartTag>
    <w:r w:rsidRPr="0098621C">
      <w:rPr>
        <w:rFonts w:ascii="David" w:hAnsi="David" w:cs="David"/>
        <w:color w:val="008000"/>
        <w:sz w:val="18"/>
        <w:szCs w:val="18"/>
      </w:rPr>
      <w:t>, Jerusalem * Mailing Address: P.O.B.</w:t>
    </w:r>
    <w:r w:rsidR="00471FE7" w:rsidRPr="00471FE7">
      <w:rPr>
        <w:rFonts w:ascii="David" w:hAnsi="David" w:cs="David" w:hint="cs"/>
        <w:color w:val="008000"/>
        <w:sz w:val="18"/>
        <w:szCs w:val="18"/>
        <w:rtl/>
      </w:rPr>
      <w:t xml:space="preserve"> </w:t>
    </w:r>
    <w:r w:rsidR="00471FE7">
      <w:rPr>
        <w:rFonts w:ascii="David" w:hAnsi="David" w:cs="David" w:hint="cs"/>
        <w:color w:val="008000"/>
        <w:sz w:val="18"/>
        <w:szCs w:val="18"/>
        <w:rtl/>
      </w:rPr>
      <w:t>36504</w:t>
    </w:r>
    <w:r w:rsidRPr="0098621C">
      <w:rPr>
        <w:rFonts w:ascii="David" w:hAnsi="David" w:cs="David"/>
        <w:color w:val="008000"/>
        <w:sz w:val="18"/>
        <w:szCs w:val="18"/>
      </w:rPr>
      <w:t xml:space="preserve"> Jerusalem </w:t>
    </w:r>
    <w:r w:rsidR="00471FE7">
      <w:rPr>
        <w:rFonts w:ascii="David" w:hAnsi="David" w:cs="David" w:hint="cs"/>
        <w:color w:val="008000"/>
        <w:sz w:val="18"/>
        <w:szCs w:val="18"/>
        <w:rtl/>
      </w:rPr>
      <w:t>9136001</w:t>
    </w:r>
    <w:r w:rsidRPr="0098621C">
      <w:rPr>
        <w:rFonts w:ascii="David" w:hAnsi="David" w:cs="David"/>
        <w:color w:val="008000"/>
        <w:sz w:val="18"/>
        <w:szCs w:val="18"/>
      </w:rPr>
      <w:t xml:space="preserve"> * Tel: 02-5000073 * Fax: 02-5000076</w:t>
    </w:r>
  </w:p>
  <w:p w14:paraId="33EF15B5" w14:textId="77777777" w:rsidR="0098621C" w:rsidRPr="0098621C" w:rsidRDefault="0098621C" w:rsidP="00E97868">
    <w:pPr>
      <w:pStyle w:val="a5"/>
      <w:bidi w:val="0"/>
      <w:jc w:val="center"/>
      <w:rPr>
        <w:rFonts w:ascii="David" w:hAnsi="David" w:cs="David"/>
        <w:color w:val="008000"/>
        <w:sz w:val="18"/>
        <w:szCs w:val="18"/>
      </w:rPr>
    </w:pPr>
    <w:r w:rsidRPr="0098621C">
      <w:rPr>
        <w:rFonts w:ascii="David" w:hAnsi="David" w:cs="David"/>
        <w:color w:val="008000"/>
        <w:sz w:val="18"/>
        <w:szCs w:val="18"/>
      </w:rPr>
      <w:t xml:space="preserve">E-mail: </w:t>
    </w:r>
    <w:r w:rsidR="00E97868">
      <w:rPr>
        <w:rStyle w:val="Hyperlink"/>
        <w:rFonts w:ascii="David" w:hAnsi="David" w:cs="David" w:hint="cs"/>
        <w:sz w:val="18"/>
        <w:szCs w:val="18"/>
        <w:rtl/>
      </w:rPr>
      <w:t xml:space="preserve"> </w:t>
    </w:r>
    <w:hyperlink r:id="rId1" w:history="1">
      <w:r w:rsidR="00E97868" w:rsidRPr="000C3C4C">
        <w:rPr>
          <w:rStyle w:val="Hyperlink"/>
          <w:rFonts w:ascii="David" w:hAnsi="David" w:cs="David"/>
          <w:sz w:val="18"/>
          <w:szCs w:val="18"/>
        </w:rPr>
        <w:t>office@mqg.org.il</w:t>
      </w:r>
    </w:hyperlink>
    <w:r w:rsidR="00E97868">
      <w:rPr>
        <w:rStyle w:val="Hyperlink"/>
        <w:rFonts w:ascii="David" w:hAnsi="David" w:cs="David"/>
        <w:sz w:val="18"/>
        <w:szCs w:val="18"/>
      </w:rPr>
      <w:t xml:space="preserve"> </w:t>
    </w:r>
    <w:r w:rsidRPr="0098621C">
      <w:rPr>
        <w:rFonts w:ascii="David" w:hAnsi="David" w:cs="David"/>
        <w:color w:val="008000"/>
        <w:sz w:val="18"/>
        <w:szCs w:val="18"/>
      </w:rPr>
      <w:t xml:space="preserve">* Web Site: </w:t>
    </w:r>
    <w:hyperlink r:id="rId2" w:history="1">
      <w:r w:rsidRPr="0098621C">
        <w:rPr>
          <w:rStyle w:val="Hyperlink"/>
          <w:rFonts w:ascii="David" w:hAnsi="David" w:cs="David"/>
          <w:color w:val="008000"/>
          <w:sz w:val="18"/>
          <w:szCs w:val="18"/>
        </w:rPr>
        <w:t>www.mqg.org.il</w:t>
      </w:r>
    </w:hyperlink>
  </w:p>
  <w:p w14:paraId="76207D11" w14:textId="77777777" w:rsidR="0098621C" w:rsidRPr="0098621C" w:rsidRDefault="0098621C" w:rsidP="0098621C">
    <w:pPr>
      <w:pStyle w:val="a5"/>
      <w:jc w:val="center"/>
      <w:rPr>
        <w:rFonts w:ascii="David" w:hAnsi="David" w:cs="David"/>
        <w:color w:val="008000"/>
        <w:sz w:val="18"/>
        <w:szCs w:val="18"/>
        <w:rtl/>
      </w:rPr>
    </w:pPr>
  </w:p>
  <w:p w14:paraId="576AFDD8" w14:textId="77777777" w:rsidR="0098621C" w:rsidRPr="0098621C" w:rsidRDefault="0098621C" w:rsidP="001F1A47">
    <w:pPr>
      <w:pStyle w:val="a5"/>
      <w:jc w:val="center"/>
      <w:rPr>
        <w:rFonts w:ascii="David" w:hAnsi="David" w:cs="David"/>
      </w:rPr>
    </w:pPr>
    <w:r w:rsidRPr="0098621C">
      <w:rPr>
        <w:rFonts w:ascii="David" w:hAnsi="David" w:cs="David"/>
        <w:color w:val="008000"/>
        <w:sz w:val="18"/>
        <w:szCs w:val="18"/>
        <w:rtl/>
      </w:rPr>
      <w:t>עמוד</w:t>
    </w:r>
    <w:r w:rsidRPr="0098621C">
      <w:rPr>
        <w:rFonts w:ascii="David" w:hAnsi="David" w:cs="David"/>
        <w:color w:val="008000"/>
        <w:sz w:val="18"/>
        <w:szCs w:val="18"/>
      </w:rPr>
      <w:t xml:space="preserve"> </w:t>
    </w:r>
    <w:r w:rsidRPr="0098621C">
      <w:rPr>
        <w:rFonts w:ascii="David" w:hAnsi="David" w:cs="David"/>
        <w:color w:val="008000"/>
        <w:sz w:val="18"/>
        <w:szCs w:val="18"/>
      </w:rPr>
      <w:fldChar w:fldCharType="begin"/>
    </w:r>
    <w:r w:rsidRPr="0098621C">
      <w:rPr>
        <w:rFonts w:ascii="David" w:hAnsi="David" w:cs="David"/>
        <w:color w:val="008000"/>
        <w:sz w:val="18"/>
        <w:szCs w:val="18"/>
      </w:rPr>
      <w:instrText xml:space="preserve"> PAGE </w:instrText>
    </w:r>
    <w:r w:rsidRPr="0098621C">
      <w:rPr>
        <w:rFonts w:ascii="David" w:hAnsi="David" w:cs="David"/>
        <w:color w:val="008000"/>
        <w:sz w:val="18"/>
        <w:szCs w:val="18"/>
      </w:rPr>
      <w:fldChar w:fldCharType="separate"/>
    </w:r>
    <w:r w:rsidR="0071454C">
      <w:rPr>
        <w:rFonts w:ascii="David" w:hAnsi="David" w:cs="David"/>
        <w:noProof/>
        <w:color w:val="008000"/>
        <w:sz w:val="18"/>
        <w:szCs w:val="18"/>
        <w:rtl/>
      </w:rPr>
      <w:t>2</w:t>
    </w:r>
    <w:r w:rsidRPr="0098621C">
      <w:rPr>
        <w:rFonts w:ascii="David" w:hAnsi="David" w:cs="David"/>
        <w:color w:val="008000"/>
        <w:sz w:val="18"/>
        <w:szCs w:val="18"/>
      </w:rPr>
      <w:fldChar w:fldCharType="end"/>
    </w:r>
    <w:r w:rsidRPr="0098621C">
      <w:rPr>
        <w:rFonts w:ascii="David" w:hAnsi="David" w:cs="David"/>
        <w:color w:val="008000"/>
        <w:sz w:val="18"/>
        <w:szCs w:val="18"/>
      </w:rPr>
      <w:t xml:space="preserve"> </w:t>
    </w:r>
    <w:r w:rsidRPr="0098621C">
      <w:rPr>
        <w:rFonts w:ascii="David" w:hAnsi="David" w:cs="David"/>
        <w:color w:val="008000"/>
        <w:sz w:val="18"/>
        <w:szCs w:val="18"/>
        <w:rtl/>
      </w:rPr>
      <w:t>מתוך</w:t>
    </w:r>
    <w:r w:rsidRPr="0098621C">
      <w:rPr>
        <w:rFonts w:ascii="David" w:hAnsi="David" w:cs="David"/>
        <w:color w:val="008000"/>
        <w:sz w:val="18"/>
        <w:szCs w:val="18"/>
      </w:rPr>
      <w:t xml:space="preserve"> </w:t>
    </w:r>
    <w:r w:rsidRPr="0098621C">
      <w:rPr>
        <w:rFonts w:ascii="David" w:hAnsi="David" w:cs="David"/>
        <w:color w:val="008000"/>
        <w:sz w:val="18"/>
        <w:szCs w:val="18"/>
      </w:rPr>
      <w:fldChar w:fldCharType="begin"/>
    </w:r>
    <w:r w:rsidRPr="0098621C">
      <w:rPr>
        <w:rFonts w:ascii="David" w:hAnsi="David" w:cs="David"/>
        <w:color w:val="008000"/>
        <w:sz w:val="18"/>
        <w:szCs w:val="18"/>
      </w:rPr>
      <w:instrText xml:space="preserve"> NUMPAGES </w:instrText>
    </w:r>
    <w:r w:rsidRPr="0098621C">
      <w:rPr>
        <w:rFonts w:ascii="David" w:hAnsi="David" w:cs="David"/>
        <w:color w:val="008000"/>
        <w:sz w:val="18"/>
        <w:szCs w:val="18"/>
      </w:rPr>
      <w:fldChar w:fldCharType="separate"/>
    </w:r>
    <w:r w:rsidR="0071454C">
      <w:rPr>
        <w:rFonts w:ascii="David" w:hAnsi="David" w:cs="David"/>
        <w:noProof/>
        <w:color w:val="008000"/>
        <w:sz w:val="18"/>
        <w:szCs w:val="18"/>
        <w:rtl/>
      </w:rPr>
      <w:t>3</w:t>
    </w:r>
    <w:r w:rsidRPr="0098621C">
      <w:rPr>
        <w:rFonts w:ascii="David" w:hAnsi="David" w:cs="David"/>
        <w:color w:val="008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F5EC" w14:textId="77777777" w:rsidR="000F7488" w:rsidRDefault="000F7488" w:rsidP="0098621C">
      <w:pPr>
        <w:spacing w:after="0" w:line="240" w:lineRule="auto"/>
      </w:pPr>
      <w:r>
        <w:separator/>
      </w:r>
    </w:p>
  </w:footnote>
  <w:footnote w:type="continuationSeparator" w:id="0">
    <w:p w14:paraId="55260055" w14:textId="77777777" w:rsidR="000F7488" w:rsidRDefault="000F7488" w:rsidP="0098621C">
      <w:pPr>
        <w:spacing w:after="0" w:line="240" w:lineRule="auto"/>
      </w:pPr>
      <w:r>
        <w:continuationSeparator/>
      </w:r>
    </w:p>
  </w:footnote>
  <w:footnote w:id="1">
    <w:p w14:paraId="059554D8" w14:textId="2A05DC43" w:rsidR="006B6497" w:rsidRPr="00860607" w:rsidRDefault="006B6497">
      <w:pPr>
        <w:pStyle w:val="a9"/>
        <w:rPr>
          <w:rtl/>
        </w:rPr>
      </w:pPr>
      <w:r>
        <w:rPr>
          <w:rStyle w:val="ab"/>
        </w:rPr>
        <w:footnoteRef/>
      </w:r>
      <w:r>
        <w:rPr>
          <w:rtl/>
        </w:rPr>
        <w:t xml:space="preserve"> </w:t>
      </w:r>
      <w:r>
        <w:rPr>
          <w:rFonts w:hint="cs"/>
          <w:rtl/>
        </w:rPr>
        <w:t xml:space="preserve">מיכאל האוזר-טוב, "ההסכמות המסתמנות: מינויים ייפסלו בעילת הסבירות, אך לא החלטות ממשלה", </w:t>
      </w:r>
      <w:r w:rsidR="00860607">
        <w:rPr>
          <w:rFonts w:hint="cs"/>
          <w:b/>
          <w:bCs/>
          <w:rtl/>
        </w:rPr>
        <w:t>הארץ</w:t>
      </w:r>
      <w:r w:rsidR="00860607">
        <w:rPr>
          <w:rFonts w:hint="cs"/>
          <w:rtl/>
        </w:rPr>
        <w:t>, 17.5.2023.</w:t>
      </w:r>
    </w:p>
  </w:footnote>
  <w:footnote w:id="2">
    <w:p w14:paraId="4966E199" w14:textId="77777777" w:rsidR="008E504C" w:rsidRPr="00F44455" w:rsidRDefault="008E504C" w:rsidP="008E504C">
      <w:pPr>
        <w:pStyle w:val="a9"/>
        <w:contextualSpacing/>
        <w:jc w:val="both"/>
        <w:rPr>
          <w:rtl/>
        </w:rPr>
      </w:pPr>
      <w:r>
        <w:rPr>
          <w:rStyle w:val="ab"/>
        </w:rPr>
        <w:footnoteRef/>
      </w:r>
      <w:r>
        <w:rPr>
          <w:rtl/>
        </w:rPr>
        <w:t xml:space="preserve"> </w:t>
      </w:r>
      <w:r>
        <w:rPr>
          <w:rFonts w:hint="cs"/>
          <w:rtl/>
        </w:rPr>
        <w:t>דפנה ברק-ארז, משפט מנהלי כרך ב, 723 (2010) (להלן: "</w:t>
      </w:r>
      <w:r>
        <w:rPr>
          <w:rFonts w:hint="cs"/>
          <w:b/>
          <w:bCs/>
          <w:rtl/>
        </w:rPr>
        <w:t>ברק-ארז</w:t>
      </w:r>
      <w:r>
        <w:rPr>
          <w:rFonts w:hint="cs"/>
          <w:rtl/>
        </w:rPr>
        <w:t xml:space="preserve">"); ר' לדוגמה ע"א 311/57 </w:t>
      </w:r>
      <w:r>
        <w:rPr>
          <w:rFonts w:hint="cs"/>
          <w:b/>
          <w:bCs/>
          <w:rtl/>
        </w:rPr>
        <w:t xml:space="preserve">היועץ המשפטי לממשלה נ' </w:t>
      </w:r>
      <w:proofErr w:type="spellStart"/>
      <w:r>
        <w:rPr>
          <w:rFonts w:hint="cs"/>
          <w:b/>
          <w:bCs/>
          <w:rtl/>
        </w:rPr>
        <w:t>מ'.דיזינגוף</w:t>
      </w:r>
      <w:proofErr w:type="spellEnd"/>
      <w:r>
        <w:rPr>
          <w:rFonts w:hint="cs"/>
          <w:b/>
          <w:bCs/>
          <w:rtl/>
        </w:rPr>
        <w:t xml:space="preserve"> ושות' (שיט) בע"מ</w:t>
      </w:r>
      <w:r>
        <w:rPr>
          <w:rFonts w:hint="cs"/>
          <w:rtl/>
        </w:rPr>
        <w:t xml:space="preserve">, פ"ד </w:t>
      </w:r>
      <w:proofErr w:type="spellStart"/>
      <w:r>
        <w:rPr>
          <w:rFonts w:hint="cs"/>
          <w:rtl/>
        </w:rPr>
        <w:t>יג</w:t>
      </w:r>
      <w:proofErr w:type="spellEnd"/>
      <w:r>
        <w:rPr>
          <w:rFonts w:hint="cs"/>
          <w:rtl/>
        </w:rPr>
        <w:t xml:space="preserve"> 1026, 1039 (1959).</w:t>
      </w:r>
    </w:p>
  </w:footnote>
  <w:footnote w:id="3">
    <w:p w14:paraId="0AE983AD" w14:textId="77777777" w:rsidR="008E504C" w:rsidRPr="007B3BEF" w:rsidRDefault="008E504C" w:rsidP="008E504C">
      <w:pPr>
        <w:pStyle w:val="a9"/>
        <w:contextualSpacing/>
        <w:jc w:val="both"/>
      </w:pPr>
      <w:r>
        <w:rPr>
          <w:rStyle w:val="ab"/>
        </w:rPr>
        <w:footnoteRef/>
      </w:r>
      <w:r>
        <w:rPr>
          <w:rtl/>
        </w:rPr>
        <w:t xml:space="preserve"> </w:t>
      </w:r>
      <w:proofErr w:type="spellStart"/>
      <w:r w:rsidRPr="007B3BEF">
        <w:rPr>
          <w:rtl/>
        </w:rPr>
        <w:t>מרגית</w:t>
      </w:r>
      <w:proofErr w:type="spellEnd"/>
      <w:r w:rsidRPr="007B3BEF">
        <w:t xml:space="preserve"> </w:t>
      </w:r>
      <w:r w:rsidRPr="007B3BEF">
        <w:rPr>
          <w:rtl/>
        </w:rPr>
        <w:t>כהן "עילת אי</w:t>
      </w:r>
      <w:r w:rsidRPr="007B3BEF">
        <w:t>-</w:t>
      </w:r>
      <w:r w:rsidRPr="007B3BEF">
        <w:rPr>
          <w:rtl/>
        </w:rPr>
        <w:t>הסבירות</w:t>
      </w:r>
      <w:r w:rsidRPr="007B3BEF">
        <w:t xml:space="preserve"> </w:t>
      </w:r>
      <w:r w:rsidRPr="007B3BEF">
        <w:rPr>
          <w:rtl/>
        </w:rPr>
        <w:t>במשפט</w:t>
      </w:r>
      <w:r w:rsidRPr="007B3BEF">
        <w:t xml:space="preserve"> </w:t>
      </w:r>
      <w:r w:rsidRPr="007B3BEF">
        <w:rPr>
          <w:rtl/>
        </w:rPr>
        <w:t>המנהלי: היבטים</w:t>
      </w:r>
      <w:r w:rsidRPr="007B3BEF">
        <w:t xml:space="preserve"> </w:t>
      </w:r>
      <w:r w:rsidRPr="007B3BEF">
        <w:rPr>
          <w:rtl/>
        </w:rPr>
        <w:t>השוואתיים</w:t>
      </w:r>
      <w:r w:rsidRPr="007B3BEF">
        <w:t xml:space="preserve"> </w:t>
      </w:r>
      <w:r w:rsidRPr="007B3BEF">
        <w:rPr>
          <w:rtl/>
        </w:rPr>
        <w:t>והערות</w:t>
      </w:r>
      <w:r w:rsidRPr="007B3BEF">
        <w:t xml:space="preserve"> </w:t>
      </w:r>
      <w:r w:rsidRPr="007B3BEF">
        <w:rPr>
          <w:rtl/>
        </w:rPr>
        <w:t>נורמטיביות</w:t>
      </w:r>
      <w:r w:rsidRPr="007B3BEF">
        <w:t xml:space="preserve"> </w:t>
      </w:r>
      <w:r w:rsidRPr="007B3BEF">
        <w:rPr>
          <w:rtl/>
        </w:rPr>
        <w:t>אחרות</w:t>
      </w:r>
      <w:r>
        <w:rPr>
          <w:rFonts w:hint="cs"/>
          <w:rtl/>
        </w:rPr>
        <w:t xml:space="preserve">" </w:t>
      </w:r>
      <w:r w:rsidRPr="007B3BEF">
        <w:rPr>
          <w:rFonts w:hint="cs"/>
          <w:b/>
          <w:bCs/>
          <w:rtl/>
        </w:rPr>
        <w:t>ספר</w:t>
      </w:r>
      <w:r w:rsidRPr="007B3BEF">
        <w:rPr>
          <w:b/>
          <w:bCs/>
        </w:rPr>
        <w:t xml:space="preserve"> </w:t>
      </w:r>
      <w:r w:rsidRPr="007B3BEF">
        <w:rPr>
          <w:b/>
          <w:bCs/>
          <w:rtl/>
        </w:rPr>
        <w:t>אור</w:t>
      </w:r>
      <w:r w:rsidRPr="007B3BEF">
        <w:rPr>
          <w:b/>
          <w:bCs/>
        </w:rPr>
        <w:t xml:space="preserve"> – </w:t>
      </w:r>
      <w:r w:rsidRPr="007B3BEF">
        <w:rPr>
          <w:b/>
          <w:bCs/>
          <w:rtl/>
        </w:rPr>
        <w:t>קובץ מאמרים</w:t>
      </w:r>
      <w:r w:rsidRPr="007B3BEF">
        <w:rPr>
          <w:b/>
          <w:bCs/>
        </w:rPr>
        <w:t xml:space="preserve"> </w:t>
      </w:r>
      <w:r w:rsidRPr="007B3BEF">
        <w:rPr>
          <w:b/>
          <w:bCs/>
          <w:rtl/>
        </w:rPr>
        <w:t>לכבודו</w:t>
      </w:r>
      <w:r w:rsidRPr="007B3BEF">
        <w:rPr>
          <w:b/>
          <w:bCs/>
        </w:rPr>
        <w:t xml:space="preserve"> </w:t>
      </w:r>
      <w:r w:rsidRPr="007B3BEF">
        <w:rPr>
          <w:b/>
          <w:bCs/>
          <w:rtl/>
        </w:rPr>
        <w:t>של</w:t>
      </w:r>
      <w:r w:rsidRPr="007B3BEF">
        <w:rPr>
          <w:b/>
          <w:bCs/>
        </w:rPr>
        <w:t xml:space="preserve"> </w:t>
      </w:r>
      <w:r w:rsidRPr="007B3BEF">
        <w:rPr>
          <w:b/>
          <w:bCs/>
          <w:rtl/>
        </w:rPr>
        <w:t>השופט</w:t>
      </w:r>
      <w:r w:rsidRPr="007B3BEF">
        <w:rPr>
          <w:b/>
          <w:bCs/>
        </w:rPr>
        <w:t xml:space="preserve"> </w:t>
      </w:r>
      <w:r w:rsidRPr="007B3BEF">
        <w:rPr>
          <w:b/>
          <w:bCs/>
          <w:rtl/>
        </w:rPr>
        <w:t>תיאודור</w:t>
      </w:r>
      <w:r w:rsidRPr="007B3BEF">
        <w:rPr>
          <w:b/>
          <w:bCs/>
        </w:rPr>
        <w:t xml:space="preserve"> </w:t>
      </w:r>
      <w:r w:rsidRPr="007B3BEF">
        <w:rPr>
          <w:b/>
          <w:bCs/>
          <w:rtl/>
        </w:rPr>
        <w:t>אור</w:t>
      </w:r>
      <w:r w:rsidRPr="007B3BEF">
        <w:rPr>
          <w:rtl/>
        </w:rPr>
        <w:t xml:space="preserve"> 773, </w:t>
      </w:r>
      <w:r>
        <w:rPr>
          <w:rFonts w:hint="cs"/>
          <w:rtl/>
        </w:rPr>
        <w:t>779-778</w:t>
      </w:r>
      <w:r w:rsidRPr="007B3BEF">
        <w:rPr>
          <w:rtl/>
        </w:rPr>
        <w:t xml:space="preserve"> (אהרן</w:t>
      </w:r>
      <w:r w:rsidRPr="007B3BEF">
        <w:t xml:space="preserve"> </w:t>
      </w:r>
      <w:r w:rsidRPr="007B3BEF">
        <w:rPr>
          <w:rtl/>
        </w:rPr>
        <w:t>ברק</w:t>
      </w:r>
      <w:r w:rsidRPr="007B3BEF">
        <w:t xml:space="preserve">, </w:t>
      </w:r>
      <w:r w:rsidRPr="007B3BEF">
        <w:rPr>
          <w:rtl/>
        </w:rPr>
        <w:t>רון</w:t>
      </w:r>
      <w:r w:rsidRPr="007B3BEF">
        <w:t xml:space="preserve"> </w:t>
      </w:r>
      <w:proofErr w:type="spellStart"/>
      <w:r w:rsidRPr="007B3BEF">
        <w:rPr>
          <w:rtl/>
        </w:rPr>
        <w:t>סוקול</w:t>
      </w:r>
      <w:proofErr w:type="spellEnd"/>
      <w:r w:rsidRPr="007B3BEF">
        <w:t xml:space="preserve"> </w:t>
      </w:r>
      <w:r w:rsidRPr="007B3BEF">
        <w:rPr>
          <w:rtl/>
        </w:rPr>
        <w:t>ועודד</w:t>
      </w:r>
      <w:r w:rsidRPr="007B3BEF">
        <w:t xml:space="preserve"> </w:t>
      </w:r>
      <w:r w:rsidRPr="007B3BEF">
        <w:rPr>
          <w:rtl/>
        </w:rPr>
        <w:t>שחם</w:t>
      </w:r>
      <w:r w:rsidRPr="007B3BEF">
        <w:t xml:space="preserve"> </w:t>
      </w:r>
      <w:r w:rsidRPr="007B3BEF">
        <w:rPr>
          <w:rtl/>
        </w:rPr>
        <w:t>עורכים 2013) (להלן: "</w:t>
      </w:r>
      <w:r w:rsidRPr="007B3BEF">
        <w:rPr>
          <w:b/>
          <w:bCs/>
          <w:rtl/>
        </w:rPr>
        <w:t>כהן</w:t>
      </w:r>
      <w:r w:rsidRPr="007B3BEF">
        <w:rPr>
          <w:rtl/>
        </w:rPr>
        <w:t>").</w:t>
      </w:r>
    </w:p>
  </w:footnote>
  <w:footnote w:id="4">
    <w:p w14:paraId="3B6D3633" w14:textId="77777777" w:rsidR="008E504C" w:rsidRPr="00D87041" w:rsidRDefault="008E504C" w:rsidP="008E504C">
      <w:pPr>
        <w:pStyle w:val="a9"/>
        <w:contextualSpacing/>
        <w:jc w:val="both"/>
        <w:rPr>
          <w:rFonts w:ascii="David" w:hAnsi="David" w:hint="cs"/>
          <w:rtl/>
        </w:rPr>
      </w:pPr>
      <w:r>
        <w:rPr>
          <w:rStyle w:val="ab"/>
        </w:rPr>
        <w:footnoteRef/>
      </w:r>
      <w:r>
        <w:rPr>
          <w:rtl/>
        </w:rPr>
        <w:t xml:space="preserve"> </w:t>
      </w:r>
      <w:r>
        <w:rPr>
          <w:rFonts w:hint="cs"/>
          <w:rtl/>
        </w:rPr>
        <w:t xml:space="preserve">כהן, 778. פסק הדין המדובר הוא </w:t>
      </w:r>
      <w:r>
        <w:rPr>
          <w:rFonts w:cs="Times New Roman"/>
          <w:sz w:val="18"/>
          <w:szCs w:val="18"/>
        </w:rPr>
        <w:t xml:space="preserve">Associated Provincial Picture Houses v. </w:t>
      </w:r>
      <w:proofErr w:type="spellStart"/>
      <w:r>
        <w:rPr>
          <w:rFonts w:cs="Times New Roman"/>
          <w:sz w:val="18"/>
          <w:szCs w:val="18"/>
        </w:rPr>
        <w:t>Wednesbury</w:t>
      </w:r>
      <w:proofErr w:type="spellEnd"/>
      <w:r>
        <w:rPr>
          <w:rFonts w:cs="Times New Roman"/>
          <w:sz w:val="18"/>
          <w:szCs w:val="18"/>
        </w:rPr>
        <w:t>, [1948] 1 K.B. 223 (C.A.)</w:t>
      </w:r>
      <w:r>
        <w:rPr>
          <w:rFonts w:cs="Times New Roman" w:hint="cs"/>
          <w:sz w:val="18"/>
          <w:szCs w:val="18"/>
          <w:rtl/>
        </w:rPr>
        <w:t>.</w:t>
      </w:r>
      <w:r>
        <w:rPr>
          <w:rFonts w:ascii="David" w:hAnsi="David" w:hint="cs"/>
          <w:rtl/>
        </w:rPr>
        <w:t xml:space="preserve"> </w:t>
      </w:r>
      <w:r>
        <w:rPr>
          <w:rFonts w:ascii="David" w:hAnsi="David" w:hint="cs"/>
          <w:rtl/>
        </w:rPr>
        <w:t>(להלן: "</w:t>
      </w:r>
      <w:r>
        <w:rPr>
          <w:rFonts w:ascii="David" w:hAnsi="David" w:hint="cs"/>
          <w:b/>
          <w:bCs/>
          <w:rtl/>
        </w:rPr>
        <w:t xml:space="preserve">עניין </w:t>
      </w:r>
      <w:proofErr w:type="spellStart"/>
      <w:r>
        <w:rPr>
          <w:rFonts w:ascii="David" w:hAnsi="David"/>
          <w:b/>
          <w:bCs/>
        </w:rPr>
        <w:t>Wednesbury</w:t>
      </w:r>
      <w:proofErr w:type="spellEnd"/>
      <w:r>
        <w:rPr>
          <w:rFonts w:ascii="David" w:hAnsi="David" w:hint="cs"/>
          <w:rtl/>
        </w:rPr>
        <w:t>").</w:t>
      </w:r>
    </w:p>
  </w:footnote>
  <w:footnote w:id="5">
    <w:p w14:paraId="67C51EC3" w14:textId="77777777" w:rsidR="008E504C" w:rsidRPr="00C55CAB" w:rsidRDefault="008E504C" w:rsidP="008E504C">
      <w:pPr>
        <w:pStyle w:val="a9"/>
        <w:contextualSpacing/>
        <w:jc w:val="both"/>
        <w:rPr>
          <w:rFonts w:ascii="David" w:hAnsi="David" w:hint="cs"/>
          <w:rtl/>
        </w:rPr>
      </w:pPr>
      <w:r w:rsidRPr="00C55CAB">
        <w:rPr>
          <w:rStyle w:val="ab"/>
          <w:rFonts w:ascii="David" w:hAnsi="David"/>
        </w:rPr>
        <w:footnoteRef/>
      </w:r>
      <w:r w:rsidRPr="00C55CAB">
        <w:rPr>
          <w:rFonts w:ascii="David" w:hAnsi="David"/>
          <w:rtl/>
        </w:rPr>
        <w:t xml:space="preserve"> </w:t>
      </w:r>
      <w:r w:rsidRPr="00C55CAB">
        <w:rPr>
          <w:rFonts w:ascii="David" w:hAnsi="David"/>
          <w:rtl/>
        </w:rPr>
        <w:t>כהן, 781</w:t>
      </w:r>
      <w:r>
        <w:rPr>
          <w:rFonts w:ascii="David" w:hAnsi="David"/>
          <w:rtl/>
        </w:rPr>
        <w:t>-778</w:t>
      </w:r>
      <w:r>
        <w:rPr>
          <w:rFonts w:ascii="David" w:hAnsi="David" w:hint="cs"/>
          <w:rtl/>
        </w:rPr>
        <w:t xml:space="preserve"> ו-783.</w:t>
      </w:r>
    </w:p>
  </w:footnote>
  <w:footnote w:id="6">
    <w:p w14:paraId="103A0FAF" w14:textId="77777777" w:rsidR="008E504C" w:rsidRDefault="008E504C" w:rsidP="008E504C">
      <w:pPr>
        <w:pStyle w:val="a9"/>
        <w:jc w:val="both"/>
      </w:pPr>
      <w:r>
        <w:rPr>
          <w:rStyle w:val="ab"/>
        </w:rPr>
        <w:footnoteRef/>
      </w:r>
      <w:r>
        <w:rPr>
          <w:rtl/>
        </w:rPr>
        <w:t xml:space="preserve"> </w:t>
      </w:r>
      <w:r>
        <w:rPr>
          <w:rFonts w:hint="cs"/>
          <w:rtl/>
        </w:rPr>
        <w:t>ברק-ארז, עמ' 769.</w:t>
      </w:r>
    </w:p>
  </w:footnote>
  <w:footnote w:id="7">
    <w:p w14:paraId="1E78752F" w14:textId="77777777" w:rsidR="008E504C" w:rsidRPr="006572E1" w:rsidRDefault="008E504C" w:rsidP="008E504C">
      <w:pPr>
        <w:pStyle w:val="a9"/>
        <w:jc w:val="both"/>
      </w:pPr>
      <w:r>
        <w:rPr>
          <w:rStyle w:val="ab"/>
        </w:rPr>
        <w:footnoteRef/>
      </w:r>
      <w:r>
        <w:rPr>
          <w:rtl/>
        </w:rPr>
        <w:t xml:space="preserve"> </w:t>
      </w:r>
      <w:r>
        <w:rPr>
          <w:rFonts w:hint="cs"/>
          <w:rtl/>
        </w:rPr>
        <w:t xml:space="preserve">יצחק זמיר "הביקורת השיפוטית", 71 ו-75 </w:t>
      </w:r>
      <w:r>
        <w:rPr>
          <w:rFonts w:hint="cs"/>
          <w:b/>
          <w:bCs/>
          <w:rtl/>
        </w:rPr>
        <w:t xml:space="preserve">הסמכות </w:t>
      </w:r>
      <w:proofErr w:type="spellStart"/>
      <w:r>
        <w:rPr>
          <w:rFonts w:hint="cs"/>
          <w:b/>
          <w:bCs/>
          <w:rtl/>
        </w:rPr>
        <w:t>המינהלית</w:t>
      </w:r>
      <w:proofErr w:type="spellEnd"/>
      <w:r>
        <w:rPr>
          <w:rFonts w:hint="cs"/>
          <w:rtl/>
        </w:rPr>
        <w:t xml:space="preserve"> (מהדורה ראשונה,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798A" w14:textId="77777777" w:rsidR="0098621C" w:rsidRPr="0098621C" w:rsidRDefault="00E41189" w:rsidP="0098621C">
    <w:pPr>
      <w:pStyle w:val="a3"/>
      <w:jc w:val="center"/>
      <w:rPr>
        <w:rFonts w:ascii="David" w:hAnsi="David" w:cs="David"/>
        <w:b/>
        <w:bCs/>
        <w:color w:val="008000"/>
        <w:sz w:val="44"/>
        <w:szCs w:val="44"/>
        <w:rtl/>
      </w:rPr>
    </w:pPr>
    <w:r>
      <w:rPr>
        <w:noProof/>
        <w:rtl/>
      </w:rPr>
      <w:drawing>
        <wp:anchor distT="0" distB="0" distL="114300" distR="114300" simplePos="0" relativeHeight="251657728" behindDoc="1" locked="0" layoutInCell="1" allowOverlap="1" wp14:anchorId="5A9A3568" wp14:editId="68FFBA95">
          <wp:simplePos x="0" y="0"/>
          <wp:positionH relativeFrom="column">
            <wp:posOffset>5013325</wp:posOffset>
          </wp:positionH>
          <wp:positionV relativeFrom="paragraph">
            <wp:posOffset>7620</wp:posOffset>
          </wp:positionV>
          <wp:extent cx="930275" cy="1028700"/>
          <wp:effectExtent l="0" t="0" r="0" b="0"/>
          <wp:wrapNone/>
          <wp:docPr id="10" name="תמונה 10" descr="לוגו תנועה - רקע יר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תנועה - רקע ירוק"/>
                  <pic:cNvPicPr>
                    <a:picLocks noChangeAspect="1" noChangeArrowheads="1"/>
                  </pic:cNvPicPr>
                </pic:nvPicPr>
                <pic:blipFill>
                  <a:blip r:embed="rId1">
                    <a:extLst>
                      <a:ext uri="{28A0092B-C50C-407E-A947-70E740481C1C}">
                        <a14:useLocalDpi xmlns:a14="http://schemas.microsoft.com/office/drawing/2010/main" val="0"/>
                      </a:ext>
                    </a:extLst>
                  </a:blip>
                  <a:srcRect l="14648" t="3055" r="40834" b="31320"/>
                  <a:stretch>
                    <a:fillRect/>
                  </a:stretch>
                </pic:blipFill>
                <pic:spPr bwMode="auto">
                  <a:xfrm>
                    <a:off x="0" y="0"/>
                    <a:ext cx="930275" cy="1028700"/>
                  </a:xfrm>
                  <a:prstGeom prst="rect">
                    <a:avLst/>
                  </a:prstGeom>
                  <a:noFill/>
                </pic:spPr>
              </pic:pic>
            </a:graphicData>
          </a:graphic>
          <wp14:sizeRelH relativeFrom="page">
            <wp14:pctWidth>0</wp14:pctWidth>
          </wp14:sizeRelH>
          <wp14:sizeRelV relativeFrom="page">
            <wp14:pctHeight>0</wp14:pctHeight>
          </wp14:sizeRelV>
        </wp:anchor>
      </w:drawing>
    </w:r>
    <w:r w:rsidR="0098621C" w:rsidRPr="0098621C">
      <w:rPr>
        <w:rFonts w:ascii="David" w:hAnsi="David" w:cs="David"/>
        <w:b/>
        <w:bCs/>
        <w:color w:val="008000"/>
        <w:sz w:val="44"/>
        <w:szCs w:val="44"/>
        <w:rtl/>
      </w:rPr>
      <w:t xml:space="preserve"> התנועה למען איכות השלטון בישראל (</w:t>
    </w:r>
    <w:proofErr w:type="spellStart"/>
    <w:r w:rsidR="0098621C" w:rsidRPr="0098621C">
      <w:rPr>
        <w:rFonts w:ascii="David" w:hAnsi="David" w:cs="David"/>
        <w:b/>
        <w:bCs/>
        <w:color w:val="008000"/>
        <w:sz w:val="44"/>
        <w:szCs w:val="44"/>
        <w:rtl/>
      </w:rPr>
      <w:t>ע"ר</w:t>
    </w:r>
    <w:proofErr w:type="spellEnd"/>
    <w:r w:rsidR="0098621C" w:rsidRPr="0098621C">
      <w:rPr>
        <w:rFonts w:ascii="David" w:hAnsi="David" w:cs="David"/>
        <w:b/>
        <w:bCs/>
        <w:color w:val="008000"/>
        <w:sz w:val="44"/>
        <w:szCs w:val="44"/>
        <w:rtl/>
      </w:rPr>
      <w:t>)</w:t>
    </w:r>
  </w:p>
  <w:p w14:paraId="370D74BB" w14:textId="77777777" w:rsidR="0098621C" w:rsidRPr="0098621C" w:rsidRDefault="0098621C" w:rsidP="0098621C">
    <w:pPr>
      <w:pStyle w:val="a3"/>
      <w:tabs>
        <w:tab w:val="clear" w:pos="8306"/>
        <w:tab w:val="left" w:pos="6341"/>
      </w:tabs>
      <w:rPr>
        <w:rFonts w:ascii="David" w:hAnsi="David" w:cs="David"/>
        <w:b/>
        <w:bCs/>
        <w:color w:val="008000"/>
        <w:sz w:val="48"/>
        <w:szCs w:val="48"/>
        <w:rtl/>
      </w:rPr>
    </w:pPr>
    <w:r w:rsidRPr="0098621C">
      <w:rPr>
        <w:rFonts w:ascii="David" w:hAnsi="David" w:cs="David"/>
        <w:sz w:val="28"/>
        <w:szCs w:val="28"/>
        <w:rtl/>
      </w:rPr>
      <w:tab/>
    </w:r>
    <w:r w:rsidRPr="0098621C">
      <w:rPr>
        <w:rFonts w:ascii="Arial" w:hAnsi="Arial" w:hint="cs"/>
        <w:b/>
        <w:bCs/>
        <w:color w:val="008000"/>
        <w:sz w:val="20"/>
        <w:szCs w:val="20"/>
        <w:rtl/>
        <w:lang w:bidi="ar-LB"/>
      </w:rPr>
      <w:t>الحركة</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من</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أجل</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جودة</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السلطة</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في</w:t>
    </w:r>
    <w:r w:rsidRPr="0098621C">
      <w:rPr>
        <w:rFonts w:ascii="David" w:hAnsi="David" w:cs="David"/>
        <w:b/>
        <w:bCs/>
        <w:color w:val="008000"/>
        <w:sz w:val="20"/>
        <w:szCs w:val="20"/>
        <w:rtl/>
        <w:lang w:bidi="ar-LB"/>
      </w:rPr>
      <w:t xml:space="preserve"> </w:t>
    </w:r>
    <w:r w:rsidRPr="0098621C">
      <w:rPr>
        <w:rFonts w:ascii="Arial" w:hAnsi="Arial" w:hint="cs"/>
        <w:b/>
        <w:bCs/>
        <w:color w:val="008000"/>
        <w:sz w:val="20"/>
        <w:szCs w:val="20"/>
        <w:rtl/>
        <w:lang w:bidi="ar-LB"/>
      </w:rPr>
      <w:t>إسرائيل</w:t>
    </w:r>
    <w:r w:rsidRPr="0098621C">
      <w:rPr>
        <w:rFonts w:ascii="David" w:hAnsi="David" w:cs="David"/>
        <w:b/>
        <w:bCs/>
        <w:color w:val="008000"/>
        <w:sz w:val="20"/>
        <w:szCs w:val="20"/>
        <w:rtl/>
      </w:rPr>
      <w:t xml:space="preserve"> </w:t>
    </w:r>
    <w:r w:rsidRPr="0098621C">
      <w:rPr>
        <w:rFonts w:ascii="David" w:hAnsi="David" w:cs="David"/>
        <w:b/>
        <w:bCs/>
        <w:color w:val="008000"/>
        <w:sz w:val="20"/>
        <w:szCs w:val="20"/>
      </w:rPr>
      <w:t xml:space="preserve">The Movement for Quality Government in Israel </w:t>
    </w:r>
  </w:p>
  <w:p w14:paraId="1A43FC5B" w14:textId="77777777" w:rsidR="0098621C" w:rsidRPr="0098621C" w:rsidRDefault="0098621C" w:rsidP="0098621C">
    <w:pPr>
      <w:pStyle w:val="a3"/>
      <w:tabs>
        <w:tab w:val="clear" w:pos="8306"/>
        <w:tab w:val="left" w:pos="6341"/>
      </w:tabs>
      <w:rPr>
        <w:rFonts w:ascii="David" w:hAnsi="David" w:cs="David"/>
        <w:b/>
        <w:bCs/>
        <w:color w:val="008000"/>
        <w:sz w:val="48"/>
        <w:szCs w:val="48"/>
      </w:rPr>
    </w:pPr>
  </w:p>
  <w:p w14:paraId="3D350168" w14:textId="77777777" w:rsidR="0098621C" w:rsidRPr="0098621C" w:rsidRDefault="0098621C" w:rsidP="0098621C">
    <w:pPr>
      <w:pStyle w:val="a3"/>
      <w:rPr>
        <w:rFonts w:ascii="David" w:hAnsi="David" w:cs="David"/>
        <w:rtl/>
      </w:rPr>
    </w:pPr>
  </w:p>
  <w:p w14:paraId="3583BE29" w14:textId="77777777" w:rsidR="00CE2B0F" w:rsidRPr="0098621C" w:rsidRDefault="00CE2B0F">
    <w:pPr>
      <w:pStyle w:val="a3"/>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EC"/>
    <w:multiLevelType w:val="hybridMultilevel"/>
    <w:tmpl w:val="96468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D1428"/>
    <w:multiLevelType w:val="hybridMultilevel"/>
    <w:tmpl w:val="4F528024"/>
    <w:lvl w:ilvl="0" w:tplc="6DF6DB2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E6085"/>
    <w:multiLevelType w:val="hybridMultilevel"/>
    <w:tmpl w:val="5016CA84"/>
    <w:lvl w:ilvl="0" w:tplc="A80452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69FD"/>
    <w:multiLevelType w:val="hybridMultilevel"/>
    <w:tmpl w:val="010A1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E191C"/>
    <w:multiLevelType w:val="hybridMultilevel"/>
    <w:tmpl w:val="FF24A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A29C8"/>
    <w:multiLevelType w:val="hybridMultilevel"/>
    <w:tmpl w:val="A8344D8A"/>
    <w:lvl w:ilvl="0" w:tplc="3BA6D4E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6033E"/>
    <w:multiLevelType w:val="hybridMultilevel"/>
    <w:tmpl w:val="4FEEF50C"/>
    <w:lvl w:ilvl="0" w:tplc="5BC4FA5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676A0"/>
    <w:multiLevelType w:val="hybridMultilevel"/>
    <w:tmpl w:val="EB361C6A"/>
    <w:lvl w:ilvl="0" w:tplc="E7A40C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38F6"/>
    <w:multiLevelType w:val="hybridMultilevel"/>
    <w:tmpl w:val="E6B8B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33C73"/>
    <w:multiLevelType w:val="hybridMultilevel"/>
    <w:tmpl w:val="CF766094"/>
    <w:lvl w:ilvl="0" w:tplc="527A8DA0">
      <w:start w:val="2"/>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47DFA"/>
    <w:multiLevelType w:val="hybridMultilevel"/>
    <w:tmpl w:val="B7E66688"/>
    <w:lvl w:ilvl="0" w:tplc="FD08C5E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25555C"/>
    <w:multiLevelType w:val="hybridMultilevel"/>
    <w:tmpl w:val="F30244A8"/>
    <w:lvl w:ilvl="0" w:tplc="5560CF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0077C8"/>
    <w:multiLevelType w:val="hybridMultilevel"/>
    <w:tmpl w:val="44CEF55E"/>
    <w:lvl w:ilvl="0" w:tplc="5D32E022">
      <w:start w:val="1"/>
      <w:numFmt w:val="decimal"/>
      <w:lvlText w:val="%1."/>
      <w:lvlJc w:val="left"/>
      <w:pPr>
        <w:ind w:left="720" w:hanging="360"/>
      </w:pPr>
      <w:rPr>
        <w:rFonts w:hint="default"/>
        <w:b w:val="0"/>
        <w:bCs w:val="0"/>
      </w:rPr>
    </w:lvl>
    <w:lvl w:ilvl="1" w:tplc="E030235E">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266FA"/>
    <w:multiLevelType w:val="multilevel"/>
    <w:tmpl w:val="4798120C"/>
    <w:lvl w:ilvl="0">
      <w:start w:val="1"/>
      <w:numFmt w:val="decimal"/>
      <w:lvlText w:val="%1."/>
      <w:lvlJc w:val="left"/>
      <w:pPr>
        <w:tabs>
          <w:tab w:val="num" w:pos="1004"/>
        </w:tabs>
        <w:ind w:left="1004" w:hanging="720"/>
      </w:pPr>
      <w:rPr>
        <w:rFonts w:cs="David" w:hint="default"/>
        <w:b w:val="0"/>
        <w:bCs w:val="0"/>
        <w:sz w:val="24"/>
        <w:szCs w:val="24"/>
      </w:rPr>
    </w:lvl>
    <w:lvl w:ilvl="1">
      <w:start w:val="1"/>
      <w:numFmt w:val="hebrew1"/>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1A40D5F"/>
    <w:multiLevelType w:val="hybridMultilevel"/>
    <w:tmpl w:val="6A549398"/>
    <w:lvl w:ilvl="0" w:tplc="06600D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159C1"/>
    <w:multiLevelType w:val="hybridMultilevel"/>
    <w:tmpl w:val="3A5E7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C4FEF"/>
    <w:multiLevelType w:val="hybridMultilevel"/>
    <w:tmpl w:val="67B4E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640CB3"/>
    <w:multiLevelType w:val="hybridMultilevel"/>
    <w:tmpl w:val="B492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2115D"/>
    <w:multiLevelType w:val="hybridMultilevel"/>
    <w:tmpl w:val="9F96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AC4D40"/>
    <w:multiLevelType w:val="multilevel"/>
    <w:tmpl w:val="D87A7196"/>
    <w:lvl w:ilvl="0">
      <w:start w:val="1"/>
      <w:numFmt w:val="decimal"/>
      <w:lvlText w:val="%1."/>
      <w:lvlJc w:val="center"/>
      <w:pPr>
        <w:tabs>
          <w:tab w:val="num" w:pos="648"/>
        </w:tabs>
        <w:ind w:left="36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E86A1B"/>
    <w:multiLevelType w:val="hybridMultilevel"/>
    <w:tmpl w:val="9C12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D1D25"/>
    <w:multiLevelType w:val="hybridMultilevel"/>
    <w:tmpl w:val="03EE0FC6"/>
    <w:lvl w:ilvl="0" w:tplc="920656B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E110C3"/>
    <w:multiLevelType w:val="hybridMultilevel"/>
    <w:tmpl w:val="3AD8D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1B36CE"/>
    <w:multiLevelType w:val="hybridMultilevel"/>
    <w:tmpl w:val="C3008E00"/>
    <w:lvl w:ilvl="0" w:tplc="3186520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44690D"/>
    <w:multiLevelType w:val="hybridMultilevel"/>
    <w:tmpl w:val="2B0A7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B50F81"/>
    <w:multiLevelType w:val="hybridMultilevel"/>
    <w:tmpl w:val="81C29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277C71"/>
    <w:multiLevelType w:val="hybridMultilevel"/>
    <w:tmpl w:val="9F642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9679F0"/>
    <w:multiLevelType w:val="hybridMultilevel"/>
    <w:tmpl w:val="586E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62BB5"/>
    <w:multiLevelType w:val="hybridMultilevel"/>
    <w:tmpl w:val="4A146548"/>
    <w:lvl w:ilvl="0" w:tplc="0186D458">
      <w:start w:val="1"/>
      <w:numFmt w:val="decimal"/>
      <w:lvlText w:val="%1."/>
      <w:lvlJc w:val="left"/>
      <w:pPr>
        <w:ind w:left="360" w:hanging="360"/>
      </w:pPr>
      <w:rPr>
        <w:b w:val="0"/>
        <w:bCs w:val="0"/>
        <w:lang w:val="en-US"/>
      </w:rPr>
    </w:lvl>
    <w:lvl w:ilvl="1" w:tplc="499E8072">
      <w:start w:val="1"/>
      <w:numFmt w:val="hebrew1"/>
      <w:lvlText w:val="%2."/>
      <w:lvlJc w:val="center"/>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75E6E"/>
    <w:multiLevelType w:val="hybridMultilevel"/>
    <w:tmpl w:val="CB668D4E"/>
    <w:lvl w:ilvl="0" w:tplc="5282D3F6">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53B9A"/>
    <w:multiLevelType w:val="hybridMultilevel"/>
    <w:tmpl w:val="94D68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396C8A"/>
    <w:multiLevelType w:val="hybridMultilevel"/>
    <w:tmpl w:val="D3F4F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CB0293"/>
    <w:multiLevelType w:val="hybridMultilevel"/>
    <w:tmpl w:val="A1A4870A"/>
    <w:lvl w:ilvl="0" w:tplc="70BC6E6E">
      <w:start w:val="1"/>
      <w:numFmt w:val="decimal"/>
      <w:lvlText w:val="%1."/>
      <w:lvlJc w:val="left"/>
      <w:pPr>
        <w:tabs>
          <w:tab w:val="num" w:pos="628"/>
        </w:tabs>
        <w:ind w:left="628"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4E21D8"/>
    <w:multiLevelType w:val="hybridMultilevel"/>
    <w:tmpl w:val="26F4A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B90290"/>
    <w:multiLevelType w:val="hybridMultilevel"/>
    <w:tmpl w:val="DC3C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F2C16"/>
    <w:multiLevelType w:val="hybridMultilevel"/>
    <w:tmpl w:val="9DFC7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806312">
    <w:abstractNumId w:val="8"/>
  </w:num>
  <w:num w:numId="2" w16cid:durableId="20479844">
    <w:abstractNumId w:val="22"/>
  </w:num>
  <w:num w:numId="3" w16cid:durableId="444077308">
    <w:abstractNumId w:val="30"/>
  </w:num>
  <w:num w:numId="4" w16cid:durableId="319895190">
    <w:abstractNumId w:val="35"/>
  </w:num>
  <w:num w:numId="5" w16cid:durableId="815607219">
    <w:abstractNumId w:val="13"/>
  </w:num>
  <w:num w:numId="6" w16cid:durableId="448400928">
    <w:abstractNumId w:val="27"/>
  </w:num>
  <w:num w:numId="7" w16cid:durableId="1399593265">
    <w:abstractNumId w:val="3"/>
  </w:num>
  <w:num w:numId="8" w16cid:durableId="2058360444">
    <w:abstractNumId w:val="17"/>
  </w:num>
  <w:num w:numId="9" w16cid:durableId="1959140490">
    <w:abstractNumId w:val="31"/>
  </w:num>
  <w:num w:numId="10" w16cid:durableId="125322191">
    <w:abstractNumId w:val="5"/>
  </w:num>
  <w:num w:numId="11" w16cid:durableId="123040493">
    <w:abstractNumId w:val="4"/>
  </w:num>
  <w:num w:numId="12" w16cid:durableId="1353338447">
    <w:abstractNumId w:val="14"/>
  </w:num>
  <w:num w:numId="13" w16cid:durableId="383648849">
    <w:abstractNumId w:val="7"/>
  </w:num>
  <w:num w:numId="14" w16cid:durableId="1463036576">
    <w:abstractNumId w:val="34"/>
  </w:num>
  <w:num w:numId="15" w16cid:durableId="210465913">
    <w:abstractNumId w:val="12"/>
  </w:num>
  <w:num w:numId="16" w16cid:durableId="247275525">
    <w:abstractNumId w:val="10"/>
  </w:num>
  <w:num w:numId="17" w16cid:durableId="582375332">
    <w:abstractNumId w:val="2"/>
  </w:num>
  <w:num w:numId="18" w16cid:durableId="1674724564">
    <w:abstractNumId w:val="11"/>
  </w:num>
  <w:num w:numId="19" w16cid:durableId="1662611589">
    <w:abstractNumId w:val="20"/>
  </w:num>
  <w:num w:numId="20" w16cid:durableId="600988951">
    <w:abstractNumId w:val="0"/>
  </w:num>
  <w:num w:numId="21" w16cid:durableId="185097813">
    <w:abstractNumId w:val="24"/>
  </w:num>
  <w:num w:numId="22" w16cid:durableId="662316424">
    <w:abstractNumId w:val="32"/>
  </w:num>
  <w:num w:numId="23" w16cid:durableId="393940388">
    <w:abstractNumId w:val="19"/>
  </w:num>
  <w:num w:numId="24" w16cid:durableId="140119185">
    <w:abstractNumId w:val="28"/>
  </w:num>
  <w:num w:numId="25" w16cid:durableId="1242133076">
    <w:abstractNumId w:val="26"/>
  </w:num>
  <w:num w:numId="26" w16cid:durableId="1852715426">
    <w:abstractNumId w:val="25"/>
  </w:num>
  <w:num w:numId="27" w16cid:durableId="718214091">
    <w:abstractNumId w:val="15"/>
  </w:num>
  <w:num w:numId="28" w16cid:durableId="2068651212">
    <w:abstractNumId w:val="9"/>
  </w:num>
  <w:num w:numId="29" w16cid:durableId="643126223">
    <w:abstractNumId w:val="16"/>
  </w:num>
  <w:num w:numId="30" w16cid:durableId="1885174252">
    <w:abstractNumId w:val="21"/>
  </w:num>
  <w:num w:numId="31" w16cid:durableId="1987395968">
    <w:abstractNumId w:val="33"/>
  </w:num>
  <w:num w:numId="32" w16cid:durableId="1439525845">
    <w:abstractNumId w:val="6"/>
  </w:num>
  <w:num w:numId="33" w16cid:durableId="1982416453">
    <w:abstractNumId w:val="1"/>
  </w:num>
  <w:num w:numId="34" w16cid:durableId="1455752606">
    <w:abstractNumId w:val="18"/>
  </w:num>
  <w:num w:numId="35" w16cid:durableId="1747337272">
    <w:abstractNumId w:val="23"/>
  </w:num>
  <w:num w:numId="36" w16cid:durableId="10414449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1C"/>
    <w:rsid w:val="00005F8A"/>
    <w:rsid w:val="00012817"/>
    <w:rsid w:val="00015F0A"/>
    <w:rsid w:val="000406A9"/>
    <w:rsid w:val="00043FA8"/>
    <w:rsid w:val="000506B5"/>
    <w:rsid w:val="00051CA1"/>
    <w:rsid w:val="00056126"/>
    <w:rsid w:val="000B0FAB"/>
    <w:rsid w:val="000C7ED6"/>
    <w:rsid w:val="000F7488"/>
    <w:rsid w:val="001014B0"/>
    <w:rsid w:val="00107D82"/>
    <w:rsid w:val="00113B6B"/>
    <w:rsid w:val="00130313"/>
    <w:rsid w:val="00130455"/>
    <w:rsid w:val="00130F27"/>
    <w:rsid w:val="00133CF9"/>
    <w:rsid w:val="001370C5"/>
    <w:rsid w:val="00144A0F"/>
    <w:rsid w:val="00151A7A"/>
    <w:rsid w:val="0016394C"/>
    <w:rsid w:val="001738F9"/>
    <w:rsid w:val="00174506"/>
    <w:rsid w:val="001857A6"/>
    <w:rsid w:val="001869B3"/>
    <w:rsid w:val="00191197"/>
    <w:rsid w:val="00193304"/>
    <w:rsid w:val="00197226"/>
    <w:rsid w:val="00197614"/>
    <w:rsid w:val="001A0D2D"/>
    <w:rsid w:val="001C32D4"/>
    <w:rsid w:val="001E573B"/>
    <w:rsid w:val="001F1A47"/>
    <w:rsid w:val="002029EB"/>
    <w:rsid w:val="00207796"/>
    <w:rsid w:val="00211411"/>
    <w:rsid w:val="002209EB"/>
    <w:rsid w:val="00272FED"/>
    <w:rsid w:val="002916ED"/>
    <w:rsid w:val="002A0862"/>
    <w:rsid w:val="002A3AF0"/>
    <w:rsid w:val="002B6D4A"/>
    <w:rsid w:val="002C5A12"/>
    <w:rsid w:val="002D0933"/>
    <w:rsid w:val="002E500D"/>
    <w:rsid w:val="00301E8A"/>
    <w:rsid w:val="00312279"/>
    <w:rsid w:val="0033608E"/>
    <w:rsid w:val="003421D0"/>
    <w:rsid w:val="00347722"/>
    <w:rsid w:val="00363C78"/>
    <w:rsid w:val="0038063E"/>
    <w:rsid w:val="00380FFE"/>
    <w:rsid w:val="00387408"/>
    <w:rsid w:val="003D1C65"/>
    <w:rsid w:val="003D1ECA"/>
    <w:rsid w:val="003E16B4"/>
    <w:rsid w:val="00411386"/>
    <w:rsid w:val="00414482"/>
    <w:rsid w:val="00441679"/>
    <w:rsid w:val="00471FE7"/>
    <w:rsid w:val="00477F4A"/>
    <w:rsid w:val="00481BB3"/>
    <w:rsid w:val="00481EC1"/>
    <w:rsid w:val="004926F3"/>
    <w:rsid w:val="004A021D"/>
    <w:rsid w:val="004D4CE3"/>
    <w:rsid w:val="004E3295"/>
    <w:rsid w:val="004F0431"/>
    <w:rsid w:val="004F6A63"/>
    <w:rsid w:val="0050274D"/>
    <w:rsid w:val="00502A7C"/>
    <w:rsid w:val="00520188"/>
    <w:rsid w:val="00557666"/>
    <w:rsid w:val="00563046"/>
    <w:rsid w:val="00564FBF"/>
    <w:rsid w:val="00592561"/>
    <w:rsid w:val="005A50B1"/>
    <w:rsid w:val="005B1CFB"/>
    <w:rsid w:val="005C3826"/>
    <w:rsid w:val="005C3C34"/>
    <w:rsid w:val="00604CF3"/>
    <w:rsid w:val="006215C2"/>
    <w:rsid w:val="00640782"/>
    <w:rsid w:val="006440A0"/>
    <w:rsid w:val="00665A42"/>
    <w:rsid w:val="00670A19"/>
    <w:rsid w:val="006725D8"/>
    <w:rsid w:val="00672B8E"/>
    <w:rsid w:val="00681489"/>
    <w:rsid w:val="00690E2D"/>
    <w:rsid w:val="006B6497"/>
    <w:rsid w:val="006C0413"/>
    <w:rsid w:val="006D2CCC"/>
    <w:rsid w:val="006E181A"/>
    <w:rsid w:val="006E5159"/>
    <w:rsid w:val="006F5756"/>
    <w:rsid w:val="00707820"/>
    <w:rsid w:val="0071454C"/>
    <w:rsid w:val="00730ED8"/>
    <w:rsid w:val="007422A2"/>
    <w:rsid w:val="007473BC"/>
    <w:rsid w:val="00785ED7"/>
    <w:rsid w:val="007A2DF9"/>
    <w:rsid w:val="007D57DC"/>
    <w:rsid w:val="007E7EDC"/>
    <w:rsid w:val="00806AB4"/>
    <w:rsid w:val="008211AE"/>
    <w:rsid w:val="00821FD7"/>
    <w:rsid w:val="00825BC9"/>
    <w:rsid w:val="00827A3D"/>
    <w:rsid w:val="00841C62"/>
    <w:rsid w:val="00855B58"/>
    <w:rsid w:val="00860607"/>
    <w:rsid w:val="008667CC"/>
    <w:rsid w:val="00880832"/>
    <w:rsid w:val="008B0B14"/>
    <w:rsid w:val="008D0326"/>
    <w:rsid w:val="008D35DA"/>
    <w:rsid w:val="008D4A59"/>
    <w:rsid w:val="008D5635"/>
    <w:rsid w:val="008E504C"/>
    <w:rsid w:val="008E724E"/>
    <w:rsid w:val="008F089D"/>
    <w:rsid w:val="008F2919"/>
    <w:rsid w:val="008F69D1"/>
    <w:rsid w:val="00902A80"/>
    <w:rsid w:val="0094257B"/>
    <w:rsid w:val="00944A7E"/>
    <w:rsid w:val="0096524E"/>
    <w:rsid w:val="00977E5D"/>
    <w:rsid w:val="009836B9"/>
    <w:rsid w:val="009856E9"/>
    <w:rsid w:val="0098621C"/>
    <w:rsid w:val="009A3397"/>
    <w:rsid w:val="009A67E4"/>
    <w:rsid w:val="009B26D7"/>
    <w:rsid w:val="009C424A"/>
    <w:rsid w:val="009C551D"/>
    <w:rsid w:val="009D219B"/>
    <w:rsid w:val="009D7D66"/>
    <w:rsid w:val="00A02CC9"/>
    <w:rsid w:val="00A04CF7"/>
    <w:rsid w:val="00A12957"/>
    <w:rsid w:val="00A34A3D"/>
    <w:rsid w:val="00A40D54"/>
    <w:rsid w:val="00A45480"/>
    <w:rsid w:val="00A61E47"/>
    <w:rsid w:val="00A648A0"/>
    <w:rsid w:val="00A72D8B"/>
    <w:rsid w:val="00A744B6"/>
    <w:rsid w:val="00A7533B"/>
    <w:rsid w:val="00A82560"/>
    <w:rsid w:val="00A8717D"/>
    <w:rsid w:val="00A93781"/>
    <w:rsid w:val="00AA4D2B"/>
    <w:rsid w:val="00AB0D91"/>
    <w:rsid w:val="00AB2037"/>
    <w:rsid w:val="00AC000E"/>
    <w:rsid w:val="00AC03FC"/>
    <w:rsid w:val="00AC1149"/>
    <w:rsid w:val="00AC3484"/>
    <w:rsid w:val="00AD7FFC"/>
    <w:rsid w:val="00AE59E5"/>
    <w:rsid w:val="00AE78AB"/>
    <w:rsid w:val="00AF01BC"/>
    <w:rsid w:val="00B07C4C"/>
    <w:rsid w:val="00B3707E"/>
    <w:rsid w:val="00B6750C"/>
    <w:rsid w:val="00B72AB0"/>
    <w:rsid w:val="00B73778"/>
    <w:rsid w:val="00B845DD"/>
    <w:rsid w:val="00B96DB9"/>
    <w:rsid w:val="00BB027D"/>
    <w:rsid w:val="00BD7009"/>
    <w:rsid w:val="00BD7440"/>
    <w:rsid w:val="00BE3BD5"/>
    <w:rsid w:val="00BF3B32"/>
    <w:rsid w:val="00C0126C"/>
    <w:rsid w:val="00C1640D"/>
    <w:rsid w:val="00C167E6"/>
    <w:rsid w:val="00C213DA"/>
    <w:rsid w:val="00C27DC5"/>
    <w:rsid w:val="00C3021B"/>
    <w:rsid w:val="00C72154"/>
    <w:rsid w:val="00CB143F"/>
    <w:rsid w:val="00CB6640"/>
    <w:rsid w:val="00CE2B0F"/>
    <w:rsid w:val="00CF6E60"/>
    <w:rsid w:val="00D00F3C"/>
    <w:rsid w:val="00D21B51"/>
    <w:rsid w:val="00D227D8"/>
    <w:rsid w:val="00D414AC"/>
    <w:rsid w:val="00D456F2"/>
    <w:rsid w:val="00D567DA"/>
    <w:rsid w:val="00D75E97"/>
    <w:rsid w:val="00D95BB1"/>
    <w:rsid w:val="00DC712F"/>
    <w:rsid w:val="00DD7ABE"/>
    <w:rsid w:val="00DD7E11"/>
    <w:rsid w:val="00DF034F"/>
    <w:rsid w:val="00DF47AB"/>
    <w:rsid w:val="00E0008D"/>
    <w:rsid w:val="00E1634A"/>
    <w:rsid w:val="00E203E9"/>
    <w:rsid w:val="00E26DB5"/>
    <w:rsid w:val="00E41189"/>
    <w:rsid w:val="00E42CDE"/>
    <w:rsid w:val="00E44351"/>
    <w:rsid w:val="00E44DFD"/>
    <w:rsid w:val="00E70E91"/>
    <w:rsid w:val="00E91F78"/>
    <w:rsid w:val="00E940F8"/>
    <w:rsid w:val="00E94D31"/>
    <w:rsid w:val="00E97868"/>
    <w:rsid w:val="00EA1121"/>
    <w:rsid w:val="00EA12A8"/>
    <w:rsid w:val="00EB1EB6"/>
    <w:rsid w:val="00ED0FCC"/>
    <w:rsid w:val="00ED15F3"/>
    <w:rsid w:val="00ED3BAF"/>
    <w:rsid w:val="00F016FA"/>
    <w:rsid w:val="00F07336"/>
    <w:rsid w:val="00F22CB3"/>
    <w:rsid w:val="00FC23D9"/>
    <w:rsid w:val="00FC4C44"/>
    <w:rsid w:val="00FD59D3"/>
    <w:rsid w:val="00FD6032"/>
    <w:rsid w:val="00FE5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8193"/>
    <o:shapelayout v:ext="edit">
      <o:idmap v:ext="edit" data="1"/>
    </o:shapelayout>
  </w:shapeDefaults>
  <w:decimalSymbol w:val="."/>
  <w:listSeparator w:val=","/>
  <w14:docId w14:val="14AF4C65"/>
  <w15:chartTrackingRefBased/>
  <w15:docId w15:val="{C2375DEA-231E-4C63-A82E-E1BE12B0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sz w:val="22"/>
      <w:szCs w:val="22"/>
    </w:rPr>
  </w:style>
  <w:style w:type="paragraph" w:styleId="1">
    <w:name w:val="heading 1"/>
    <w:basedOn w:val="a"/>
    <w:link w:val="10"/>
    <w:uiPriority w:val="9"/>
    <w:qFormat/>
    <w:rsid w:val="00144A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F1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A67E4"/>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1C"/>
    <w:pPr>
      <w:tabs>
        <w:tab w:val="center" w:pos="4153"/>
        <w:tab w:val="right" w:pos="8306"/>
      </w:tabs>
      <w:spacing w:after="0" w:line="240" w:lineRule="auto"/>
    </w:pPr>
  </w:style>
  <w:style w:type="character" w:customStyle="1" w:styleId="a4">
    <w:name w:val="כותרת עליונה תו"/>
    <w:basedOn w:val="a0"/>
    <w:link w:val="a3"/>
    <w:uiPriority w:val="99"/>
    <w:rsid w:val="0098621C"/>
  </w:style>
  <w:style w:type="paragraph" w:styleId="a5">
    <w:name w:val="footer"/>
    <w:basedOn w:val="a"/>
    <w:link w:val="a6"/>
    <w:unhideWhenUsed/>
    <w:rsid w:val="0098621C"/>
    <w:pPr>
      <w:tabs>
        <w:tab w:val="center" w:pos="4153"/>
        <w:tab w:val="right" w:pos="8306"/>
      </w:tabs>
      <w:spacing w:after="0" w:line="240" w:lineRule="auto"/>
    </w:pPr>
  </w:style>
  <w:style w:type="character" w:customStyle="1" w:styleId="a6">
    <w:name w:val="כותרת תחתונה תו"/>
    <w:basedOn w:val="a0"/>
    <w:link w:val="a5"/>
    <w:rsid w:val="0098621C"/>
  </w:style>
  <w:style w:type="character" w:styleId="Hyperlink">
    <w:name w:val="Hyperlink"/>
    <w:rsid w:val="0098621C"/>
    <w:rPr>
      <w:color w:val="0000FF"/>
      <w:u w:val="single"/>
    </w:rPr>
  </w:style>
  <w:style w:type="table" w:styleId="a7">
    <w:name w:val="Table Grid"/>
    <w:basedOn w:val="a1"/>
    <w:uiPriority w:val="39"/>
    <w:rsid w:val="0038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7408"/>
    <w:pPr>
      <w:spacing w:after="0" w:line="360" w:lineRule="auto"/>
      <w:ind w:left="720"/>
      <w:contextualSpacing/>
    </w:pPr>
    <w:rPr>
      <w:rFonts w:ascii="Times New Roman" w:eastAsia="Times New Roman" w:hAnsi="Times New Roman" w:cs="David"/>
      <w:sz w:val="24"/>
      <w:szCs w:val="24"/>
    </w:rPr>
  </w:style>
  <w:style w:type="paragraph" w:styleId="a9">
    <w:name w:val="footnote text"/>
    <w:aliases w:val="טקסט הערות שוליים תו תו,Char,Char2 Char,Char2,Footnote Text Char Char,Char Char Char,Char2 Char Char Char,Footnote Text Char Char Char Char Char,Footnote Text Char1,Char Char,Char2 Char Char,Char2 Char1,Footnote Text Char Char Char Char"/>
    <w:basedOn w:val="a"/>
    <w:link w:val="aa"/>
    <w:uiPriority w:val="99"/>
    <w:unhideWhenUsed/>
    <w:rsid w:val="00387408"/>
    <w:pPr>
      <w:spacing w:after="0" w:line="240" w:lineRule="auto"/>
    </w:pPr>
    <w:rPr>
      <w:rFonts w:ascii="Times New Roman" w:eastAsia="Times New Roman" w:hAnsi="Times New Roman" w:cs="David"/>
      <w:sz w:val="20"/>
      <w:szCs w:val="20"/>
    </w:rPr>
  </w:style>
  <w:style w:type="character" w:customStyle="1" w:styleId="aa">
    <w:name w:val="טקסט הערת שוליים תו"/>
    <w:aliases w:val="טקסט הערות שוליים תו תו תו,Char תו,Char2 Char תו,Char2 תו,Footnote Text Char Char תו,Char Char Char תו,Char2 Char Char Char תו,Footnote Text Char Char Char Char Char תו,Footnote Text Char1 תו,Char Char תו,Char2 Char Char תו"/>
    <w:link w:val="a9"/>
    <w:uiPriority w:val="99"/>
    <w:rsid w:val="00387408"/>
    <w:rPr>
      <w:rFonts w:ascii="Times New Roman" w:eastAsia="Times New Roman" w:hAnsi="Times New Roman" w:cs="David"/>
    </w:rPr>
  </w:style>
  <w:style w:type="character" w:styleId="ab">
    <w:name w:val="footnote reference"/>
    <w:aliases w:val="Footnote Reference,Footnote text,Footnote Reference_0,Footnote Reference_0_0,Footnote Reference_0_0_0,Footnote Reference_0_0_0_0,Footnote Reference_1,Footnote Reference_2,Footnote Reference_3,Footnote Reference_3_0"/>
    <w:uiPriority w:val="99"/>
    <w:unhideWhenUsed/>
    <w:rsid w:val="00387408"/>
    <w:rPr>
      <w:vertAlign w:val="superscript"/>
    </w:rPr>
  </w:style>
  <w:style w:type="paragraph" w:customStyle="1" w:styleId="ac">
    <w:name w:val="קרן"/>
    <w:basedOn w:val="a"/>
    <w:rsid w:val="00A744B6"/>
    <w:pPr>
      <w:spacing w:after="0" w:line="360" w:lineRule="auto"/>
      <w:jc w:val="both"/>
    </w:pPr>
    <w:rPr>
      <w:rFonts w:ascii="David" w:hAnsi="David" w:cs="Times New Roman"/>
      <w:sz w:val="24"/>
      <w:szCs w:val="24"/>
    </w:rPr>
  </w:style>
  <w:style w:type="character" w:customStyle="1" w:styleId="big-number">
    <w:name w:val="big-number"/>
    <w:rsid w:val="00A744B6"/>
  </w:style>
  <w:style w:type="character" w:customStyle="1" w:styleId="default">
    <w:name w:val="default"/>
    <w:rsid w:val="00A744B6"/>
  </w:style>
  <w:style w:type="paragraph" w:customStyle="1" w:styleId="P00">
    <w:name w:val="P00"/>
    <w:link w:val="P000"/>
    <w:rsid w:val="00A744B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P000">
    <w:name w:val="P00 תו"/>
    <w:link w:val="P00"/>
    <w:rsid w:val="00A744B6"/>
    <w:rPr>
      <w:rFonts w:ascii="Times New Roman" w:eastAsia="Times New Roman" w:hAnsi="Times New Roman" w:cs="Times New Roman"/>
      <w:noProof/>
      <w:szCs w:val="26"/>
      <w:lang w:eastAsia="he-IL"/>
    </w:rPr>
  </w:style>
  <w:style w:type="paragraph" w:styleId="ad">
    <w:name w:val="Balloon Text"/>
    <w:basedOn w:val="a"/>
    <w:link w:val="ae"/>
    <w:uiPriority w:val="99"/>
    <w:semiHidden/>
    <w:unhideWhenUsed/>
    <w:rsid w:val="00BF3B32"/>
    <w:pPr>
      <w:spacing w:after="0" w:line="240" w:lineRule="auto"/>
    </w:pPr>
    <w:rPr>
      <w:rFonts w:ascii="Tahoma" w:hAnsi="Tahoma" w:cs="Tahoma"/>
      <w:sz w:val="18"/>
      <w:szCs w:val="18"/>
    </w:rPr>
  </w:style>
  <w:style w:type="character" w:customStyle="1" w:styleId="ae">
    <w:name w:val="טקסט בלונים תו"/>
    <w:link w:val="ad"/>
    <w:uiPriority w:val="99"/>
    <w:semiHidden/>
    <w:rsid w:val="00BF3B32"/>
    <w:rPr>
      <w:rFonts w:ascii="Tahoma" w:hAnsi="Tahoma" w:cs="Tahoma"/>
      <w:sz w:val="18"/>
      <w:szCs w:val="18"/>
    </w:rPr>
  </w:style>
  <w:style w:type="character" w:customStyle="1" w:styleId="Ruller5">
    <w:name w:val="Ruller5 תו"/>
    <w:link w:val="Ruller50"/>
    <w:rsid w:val="002916ED"/>
    <w:rPr>
      <w:rFonts w:ascii="Arial TUR" w:hAnsi="Arial TUR" w:cs="Arial TUR"/>
      <w:spacing w:val="10"/>
    </w:rPr>
  </w:style>
  <w:style w:type="paragraph" w:customStyle="1" w:styleId="Ruller50">
    <w:name w:val="Ruller5"/>
    <w:basedOn w:val="a"/>
    <w:link w:val="Ruller5"/>
    <w:rsid w:val="002916ED"/>
    <w:pPr>
      <w:overflowPunct w:val="0"/>
      <w:autoSpaceDE w:val="0"/>
      <w:autoSpaceDN w:val="0"/>
      <w:spacing w:after="0" w:line="240" w:lineRule="auto"/>
      <w:ind w:left="1642" w:right="1282"/>
      <w:jc w:val="both"/>
    </w:pPr>
    <w:rPr>
      <w:rFonts w:ascii="Arial TUR" w:hAnsi="Arial TUR" w:cs="Arial TUR"/>
      <w:spacing w:val="10"/>
      <w:sz w:val="20"/>
      <w:szCs w:val="20"/>
    </w:rPr>
  </w:style>
  <w:style w:type="character" w:customStyle="1" w:styleId="10">
    <w:name w:val="כותרת 1 תו"/>
    <w:link w:val="1"/>
    <w:uiPriority w:val="9"/>
    <w:rsid w:val="00144A0F"/>
    <w:rPr>
      <w:rFonts w:ascii="Times New Roman" w:eastAsia="Times New Roman" w:hAnsi="Times New Roman" w:cs="Times New Roman"/>
      <w:b/>
      <w:bCs/>
      <w:kern w:val="36"/>
      <w:sz w:val="48"/>
      <w:szCs w:val="48"/>
    </w:rPr>
  </w:style>
  <w:style w:type="character" w:customStyle="1" w:styleId="50">
    <w:name w:val="כותרת 5 תו"/>
    <w:link w:val="5"/>
    <w:uiPriority w:val="9"/>
    <w:semiHidden/>
    <w:rsid w:val="009A67E4"/>
    <w:rPr>
      <w:rFonts w:ascii="Calibri" w:eastAsia="Times New Roman" w:hAnsi="Calibri" w:cs="Arial"/>
      <w:b/>
      <w:bCs/>
      <w:i/>
      <w:iCs/>
      <w:sz w:val="26"/>
      <w:szCs w:val="26"/>
    </w:rPr>
  </w:style>
  <w:style w:type="paragraph" w:customStyle="1" w:styleId="p001">
    <w:name w:val="p00"/>
    <w:basedOn w:val="a"/>
    <w:rsid w:val="00130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1303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8F2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9C424A"/>
    <w:rPr>
      <w:color w:val="954F72"/>
      <w:u w:val="single"/>
    </w:rPr>
  </w:style>
  <w:style w:type="paragraph" w:customStyle="1" w:styleId="af">
    <w:name w:val="קריאות"/>
    <w:basedOn w:val="a"/>
    <w:rsid w:val="00C3021B"/>
    <w:pPr>
      <w:spacing w:after="0" w:line="240" w:lineRule="auto"/>
      <w:ind w:firstLine="720"/>
      <w:jc w:val="both"/>
    </w:pPr>
    <w:rPr>
      <w:rFonts w:ascii="Arial" w:eastAsia="Times New Roman" w:hAnsi="Arial"/>
      <w:b/>
      <w:bCs/>
      <w:u w:val="single"/>
      <w:lang w:eastAsia="he-IL"/>
    </w:rPr>
  </w:style>
  <w:style w:type="paragraph" w:customStyle="1" w:styleId="Ruller4">
    <w:name w:val="Ruller4"/>
    <w:basedOn w:val="a"/>
    <w:rsid w:val="00107D82"/>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character" w:customStyle="1" w:styleId="20">
    <w:name w:val="כותרת 2 תו"/>
    <w:basedOn w:val="a0"/>
    <w:link w:val="2"/>
    <w:uiPriority w:val="9"/>
    <w:semiHidden/>
    <w:rsid w:val="001F1A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6861">
      <w:bodyDiv w:val="1"/>
      <w:marLeft w:val="0"/>
      <w:marRight w:val="0"/>
      <w:marTop w:val="0"/>
      <w:marBottom w:val="0"/>
      <w:divBdr>
        <w:top w:val="none" w:sz="0" w:space="0" w:color="auto"/>
        <w:left w:val="none" w:sz="0" w:space="0" w:color="auto"/>
        <w:bottom w:val="none" w:sz="0" w:space="0" w:color="auto"/>
        <w:right w:val="none" w:sz="0" w:space="0" w:color="auto"/>
      </w:divBdr>
    </w:div>
    <w:div w:id="1223980135">
      <w:bodyDiv w:val="1"/>
      <w:marLeft w:val="0"/>
      <w:marRight w:val="0"/>
      <w:marTop w:val="0"/>
      <w:marBottom w:val="0"/>
      <w:divBdr>
        <w:top w:val="none" w:sz="0" w:space="0" w:color="auto"/>
        <w:left w:val="none" w:sz="0" w:space="0" w:color="auto"/>
        <w:bottom w:val="none" w:sz="0" w:space="0" w:color="auto"/>
        <w:right w:val="none" w:sz="0" w:space="0" w:color="auto"/>
      </w:divBdr>
    </w:div>
    <w:div w:id="1429816919">
      <w:bodyDiv w:val="1"/>
      <w:marLeft w:val="0"/>
      <w:marRight w:val="0"/>
      <w:marTop w:val="0"/>
      <w:marBottom w:val="0"/>
      <w:divBdr>
        <w:top w:val="none" w:sz="0" w:space="0" w:color="auto"/>
        <w:left w:val="none" w:sz="0" w:space="0" w:color="auto"/>
        <w:bottom w:val="none" w:sz="0" w:space="0" w:color="auto"/>
        <w:right w:val="none" w:sz="0" w:space="0" w:color="auto"/>
      </w:divBdr>
    </w:div>
    <w:div w:id="1770613302">
      <w:bodyDiv w:val="1"/>
      <w:marLeft w:val="0"/>
      <w:marRight w:val="0"/>
      <w:marTop w:val="0"/>
      <w:marBottom w:val="0"/>
      <w:divBdr>
        <w:top w:val="none" w:sz="0" w:space="0" w:color="auto"/>
        <w:left w:val="none" w:sz="0" w:space="0" w:color="auto"/>
        <w:bottom w:val="none" w:sz="0" w:space="0" w:color="auto"/>
        <w:right w:val="none" w:sz="0" w:space="0" w:color="auto"/>
      </w:divBdr>
    </w:div>
    <w:div w:id="1850294540">
      <w:bodyDiv w:val="1"/>
      <w:marLeft w:val="0"/>
      <w:marRight w:val="0"/>
      <w:marTop w:val="0"/>
      <w:marBottom w:val="0"/>
      <w:divBdr>
        <w:top w:val="none" w:sz="0" w:space="0" w:color="auto"/>
        <w:left w:val="none" w:sz="0" w:space="0" w:color="auto"/>
        <w:bottom w:val="none" w:sz="0" w:space="0" w:color="auto"/>
        <w:right w:val="none" w:sz="0" w:space="0" w:color="auto"/>
      </w:divBdr>
    </w:div>
    <w:div w:id="1888757474">
      <w:bodyDiv w:val="1"/>
      <w:marLeft w:val="0"/>
      <w:marRight w:val="0"/>
      <w:marTop w:val="0"/>
      <w:marBottom w:val="0"/>
      <w:divBdr>
        <w:top w:val="none" w:sz="0" w:space="0" w:color="auto"/>
        <w:left w:val="none" w:sz="0" w:space="0" w:color="auto"/>
        <w:bottom w:val="none" w:sz="0" w:space="0" w:color="auto"/>
        <w:right w:val="none" w:sz="0" w:space="0" w:color="auto"/>
      </w:divBdr>
    </w:div>
    <w:div w:id="1916087313">
      <w:bodyDiv w:val="1"/>
      <w:marLeft w:val="0"/>
      <w:marRight w:val="0"/>
      <w:marTop w:val="0"/>
      <w:marBottom w:val="0"/>
      <w:divBdr>
        <w:top w:val="none" w:sz="0" w:space="0" w:color="auto"/>
        <w:left w:val="none" w:sz="0" w:space="0" w:color="auto"/>
        <w:bottom w:val="none" w:sz="0" w:space="0" w:color="auto"/>
        <w:right w:val="none" w:sz="0" w:space="0" w:color="auto"/>
      </w:divBdr>
    </w:div>
    <w:div w:id="2095347617">
      <w:bodyDiv w:val="1"/>
      <w:marLeft w:val="0"/>
      <w:marRight w:val="0"/>
      <w:marTop w:val="0"/>
      <w:marBottom w:val="0"/>
      <w:divBdr>
        <w:top w:val="none" w:sz="0" w:space="0" w:color="auto"/>
        <w:left w:val="none" w:sz="0" w:space="0" w:color="auto"/>
        <w:bottom w:val="none" w:sz="0" w:space="0" w:color="auto"/>
        <w:right w:val="none" w:sz="0" w:space="0" w:color="auto"/>
      </w:divBdr>
    </w:div>
    <w:div w:id="20986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mqg.org.il" TargetMode="External"/><Relationship Id="rId1" Type="http://schemas.openxmlformats.org/officeDocument/2006/relationships/hyperlink" Target="mailto:office@mqg.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844-0015-4F8B-BA6B-EE77B9EC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837</Words>
  <Characters>4186</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מכתב בירור סטטוס הליך משמעתי</vt:lpstr>
    </vt:vector>
  </TitlesOfParts>
  <Company/>
  <LinksUpToDate>false</LinksUpToDate>
  <CharactersWithSpaces>5013</CharactersWithSpaces>
  <SharedDoc>false</SharedDoc>
  <HLinks>
    <vt:vector size="12" baseType="variant">
      <vt:variant>
        <vt:i4>7274559</vt:i4>
      </vt:variant>
      <vt:variant>
        <vt:i4>3</vt:i4>
      </vt:variant>
      <vt:variant>
        <vt:i4>0</vt:i4>
      </vt:variant>
      <vt:variant>
        <vt:i4>5</vt:i4>
      </vt:variant>
      <vt:variant>
        <vt:lpwstr>http://www.mqg.org.il/</vt:lpwstr>
      </vt:variant>
      <vt:variant>
        <vt:lpwstr/>
      </vt:variant>
      <vt:variant>
        <vt:i4>2555979</vt:i4>
      </vt:variant>
      <vt:variant>
        <vt:i4>0</vt:i4>
      </vt:variant>
      <vt:variant>
        <vt:i4>0</vt:i4>
      </vt:variant>
      <vt:variant>
        <vt:i4>5</vt:i4>
      </vt:variant>
      <vt:variant>
        <vt:lpwstr>mailto:office@mqg.org.il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בירור סטטוס הליך משמעתי</dc:title>
  <dc:subject>ענבר גיל</dc:subject>
  <dc:creator>Zohar Altman-Raphael</dc:creator>
  <cp:keywords>20049\200014\77</cp:keywords>
  <dc:description>20049\200014\77</dc:description>
  <cp:lastModifiedBy>Hiddai Negev</cp:lastModifiedBy>
  <cp:revision>4</cp:revision>
  <cp:lastPrinted>2023-05-18T08:51:00Z</cp:lastPrinted>
  <dcterms:created xsi:type="dcterms:W3CDTF">2023-05-18T08:26:00Z</dcterms:created>
  <dcterms:modified xsi:type="dcterms:W3CDTF">2023-05-18T08:54:00Z</dcterms:modified>
</cp:coreProperties>
</file>