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6F5DE" w14:textId="1B8EA985" w:rsidR="00CA5BAD" w:rsidRPr="007F3735" w:rsidRDefault="006F6E0E" w:rsidP="00CA5BAD">
      <w:pPr>
        <w:spacing w:after="120" w:line="360" w:lineRule="auto"/>
        <w:jc w:val="right"/>
        <w:rPr>
          <w:rFonts w:ascii="David" w:hAnsi="David" w:cs="David"/>
          <w:color w:val="000000"/>
          <w:sz w:val="24"/>
          <w:szCs w:val="24"/>
          <w:rtl/>
        </w:rPr>
      </w:pPr>
      <w:r>
        <w:rPr>
          <w:rFonts w:ascii="David" w:hAnsi="David" w:cs="David" w:hint="cs"/>
          <w:color w:val="000000"/>
          <w:sz w:val="24"/>
          <w:szCs w:val="24"/>
          <w:rtl/>
        </w:rPr>
        <w:t xml:space="preserve">   </w:t>
      </w:r>
      <w:r w:rsidR="00D82B63">
        <w:rPr>
          <w:rFonts w:ascii="David" w:hAnsi="David" w:cs="David" w:hint="cs"/>
          <w:color w:val="000000"/>
          <w:sz w:val="24"/>
          <w:szCs w:val="24"/>
          <w:rtl/>
        </w:rPr>
        <w:t>4</w:t>
      </w:r>
      <w:r w:rsidR="00D82B63" w:rsidRPr="00A84321">
        <w:rPr>
          <w:rFonts w:ascii="David" w:hAnsi="David" w:cs="David"/>
          <w:color w:val="000000"/>
          <w:sz w:val="24"/>
          <w:szCs w:val="24"/>
          <w:rtl/>
        </w:rPr>
        <w:t xml:space="preserve"> </w:t>
      </w:r>
      <w:r w:rsidR="00CA5BAD">
        <w:rPr>
          <w:rFonts w:ascii="David" w:hAnsi="David" w:cs="David" w:hint="cs"/>
          <w:color w:val="000000"/>
          <w:sz w:val="24"/>
          <w:szCs w:val="24"/>
          <w:rtl/>
        </w:rPr>
        <w:t>ליוני</w:t>
      </w:r>
      <w:r w:rsidR="00CA5BAD" w:rsidRPr="00A84321">
        <w:rPr>
          <w:rFonts w:ascii="David" w:hAnsi="David" w:cs="David"/>
          <w:color w:val="000000"/>
          <w:sz w:val="24"/>
          <w:szCs w:val="24"/>
          <w:rtl/>
        </w:rPr>
        <w:t xml:space="preserve"> </w:t>
      </w:r>
      <w:r w:rsidR="00CA5BAD">
        <w:rPr>
          <w:rFonts w:ascii="David" w:hAnsi="David" w:cs="David"/>
          <w:color w:val="000000"/>
          <w:sz w:val="24"/>
          <w:szCs w:val="24"/>
          <w:rtl/>
        </w:rPr>
        <w:t>202</w:t>
      </w:r>
      <w:r w:rsidR="00CA5BAD">
        <w:rPr>
          <w:rFonts w:ascii="David" w:hAnsi="David" w:cs="David" w:hint="cs"/>
          <w:color w:val="000000"/>
          <w:sz w:val="24"/>
          <w:szCs w:val="24"/>
          <w:rtl/>
        </w:rPr>
        <w:t>6</w:t>
      </w:r>
      <w:r w:rsidR="00CA5BAD" w:rsidRPr="00A84321">
        <w:rPr>
          <w:rFonts w:ascii="David" w:hAnsi="David" w:cs="David"/>
          <w:color w:val="000000"/>
          <w:sz w:val="24"/>
          <w:szCs w:val="24"/>
          <w:rtl/>
        </w:rPr>
        <w:t xml:space="preserve">, </w:t>
      </w:r>
      <w:r w:rsidR="00CA5BAD">
        <w:rPr>
          <w:rFonts w:ascii="David" w:hAnsi="David" w:cs="David" w:hint="cs"/>
          <w:color w:val="000000"/>
          <w:sz w:val="24"/>
          <w:szCs w:val="24"/>
          <w:rtl/>
        </w:rPr>
        <w:t>י"</w:t>
      </w:r>
      <w:r w:rsidR="00D82B63">
        <w:rPr>
          <w:rFonts w:ascii="David" w:hAnsi="David" w:cs="David" w:hint="cs"/>
          <w:color w:val="000000"/>
          <w:sz w:val="24"/>
          <w:szCs w:val="24"/>
          <w:rtl/>
        </w:rPr>
        <w:t xml:space="preserve">ט </w:t>
      </w:r>
      <w:r w:rsidR="00CA5BAD">
        <w:rPr>
          <w:rFonts w:ascii="David" w:hAnsi="David" w:cs="David" w:hint="cs"/>
          <w:color w:val="000000"/>
          <w:sz w:val="24"/>
          <w:szCs w:val="24"/>
          <w:rtl/>
        </w:rPr>
        <w:t>בסיוון תשפ"ו</w:t>
      </w:r>
    </w:p>
    <w:tbl>
      <w:tblPr>
        <w:tblStyle w:val="2"/>
        <w:bidiVisual/>
        <w:tblW w:w="9261" w:type="dxa"/>
        <w:tblInd w:w="-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3121"/>
        <w:gridCol w:w="3011"/>
      </w:tblGrid>
      <w:tr w:rsidR="006F6E0E" w:rsidRPr="00F0108C" w14:paraId="7DA9EBE0" w14:textId="259CB551" w:rsidTr="006F6E0E">
        <w:trPr>
          <w:trHeight w:val="329"/>
        </w:trPr>
        <w:tc>
          <w:tcPr>
            <w:tcW w:w="3129" w:type="dxa"/>
          </w:tcPr>
          <w:p w14:paraId="10030005" w14:textId="77777777" w:rsidR="006F6E0E" w:rsidRPr="00F0108C" w:rsidRDefault="006F6E0E" w:rsidP="00A30F0E">
            <w:pPr>
              <w:spacing w:after="120" w:line="360" w:lineRule="auto"/>
              <w:jc w:val="both"/>
              <w:rPr>
                <w:rFonts w:ascii="David" w:hAnsi="David" w:cs="David"/>
                <w:noProof/>
                <w:color w:val="000000"/>
                <w:rtl/>
                <w:lang w:val="he-IL"/>
              </w:rPr>
            </w:pPr>
            <w:r w:rsidRPr="00F0108C">
              <w:rPr>
                <w:rFonts w:ascii="David" w:hAnsi="David" w:cs="David" w:hint="eastAsia"/>
                <w:noProof/>
                <w:color w:val="000000"/>
                <w:rtl/>
              </w:rPr>
              <mc:AlternateContent>
                <mc:Choice Requires="wps">
                  <w:drawing>
                    <wp:anchor distT="0" distB="0" distL="114300" distR="114300" simplePos="0" relativeHeight="251669504" behindDoc="0" locked="1" layoutInCell="1" allowOverlap="1" wp14:anchorId="13A0BBF1" wp14:editId="1856D529">
                      <wp:simplePos x="0" y="0"/>
                      <wp:positionH relativeFrom="column">
                        <wp:posOffset>-10333990</wp:posOffset>
                      </wp:positionH>
                      <wp:positionV relativeFrom="paragraph">
                        <wp:posOffset>-1909445</wp:posOffset>
                      </wp:positionV>
                      <wp:extent cx="2076450" cy="263525"/>
                      <wp:effectExtent l="0" t="0" r="0" b="3175"/>
                      <wp:wrapNone/>
                      <wp:docPr id="1081988793" name="Text Box 1"/>
                      <wp:cNvGraphicFramePr/>
                      <a:graphic xmlns:a="http://schemas.openxmlformats.org/drawingml/2006/main">
                        <a:graphicData uri="http://schemas.microsoft.com/office/word/2010/wordprocessingShape">
                          <wps:wsp>
                            <wps:cNvSpPr txBox="1"/>
                            <wps:spPr>
                              <a:xfrm>
                                <a:off x="0" y="0"/>
                                <a:ext cx="2076450" cy="263525"/>
                              </a:xfrm>
                              <a:prstGeom prst="rect">
                                <a:avLst/>
                              </a:prstGeom>
                              <a:solidFill>
                                <a:sysClr val="window" lastClr="FFFFFF"/>
                              </a:solidFill>
                              <a:ln w="6350">
                                <a:noFill/>
                              </a:ln>
                            </wps:spPr>
                            <wps:txbx>
                              <w:txbxContent>
                                <w:p w14:paraId="418A0001" w14:textId="2293D559" w:rsidR="006F6E0E" w:rsidRDefault="006F6E0E" w:rsidP="00CA5BAD">
                                  <w:r>
                                    <w:rPr>
                                      <w:rFonts w:hint="eastAsia"/>
                                      <w:rtl/>
                                    </w:rPr>
                                    <w:t>‏</w:t>
                                  </w:r>
                                  <w:r>
                                    <w:t xml:space="preserve">  </w:t>
                                  </w:r>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Pr>
                                      <w:noProof/>
                                      <w:rtl/>
                                    </w:rPr>
                                    <w:t>‏4.6.2026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Pr>
                                      <w:noProof/>
                                      <w:rtl/>
                                    </w:rPr>
                                    <w:t>‏י"ט בסיון תשפ"ו</w:t>
                                  </w:r>
                                  <w:r>
                                    <w:rPr>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0BBF1" id="_x0000_t202" coordsize="21600,21600" o:spt="202" path="m,l,21600r21600,l21600,xe">
                      <v:stroke joinstyle="miter"/>
                      <v:path gradientshapeok="t" o:connecttype="rect"/>
                    </v:shapetype>
                    <v:shape id="Text Box 1" o:spid="_x0000_s1026" type="#_x0000_t202" style="position:absolute;left:0;text-align:left;margin-left:-813.7pt;margin-top:-150.35pt;width:163.5pt;height:2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" fillcolor="window" stroked="f" strokeweight=".5pt">
                      <v:textbox>
                        <w:txbxContent>
                          <w:p w14:paraId="418A0001" w14:textId="2293D559" w:rsidR="006F6E0E" w:rsidRDefault="006F6E0E" w:rsidP="00CA5BAD">
                            <w:r>
                              <w:rPr>
                                <w:rFonts w:hint="eastAsia"/>
                                <w:rtl/>
                              </w:rPr>
                              <w:t>‏</w:t>
                            </w:r>
                            <w:r>
                              <w:t xml:space="preserve">  </w:t>
                            </w:r>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Pr>
                                <w:noProof/>
                                <w:rtl/>
                              </w:rPr>
                              <w:t>‏4.6.2026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Pr>
                                <w:noProof/>
                                <w:rtl/>
                              </w:rPr>
                              <w:t>‏י"ט בסיון תשפ"ו</w:t>
                            </w:r>
                            <w:r>
                              <w:rPr>
                                <w:rtl/>
                              </w:rPr>
                              <w:fldChar w:fldCharType="end"/>
                            </w:r>
                          </w:p>
                        </w:txbxContent>
                      </v:textbox>
                      <w10:anchorlock/>
                    </v:shape>
                  </w:pict>
                </mc:Fallback>
              </mc:AlternateContent>
            </w:r>
            <w:r w:rsidRPr="00F0108C">
              <w:rPr>
                <w:rFonts w:ascii="David" w:hAnsi="David" w:cs="David" w:hint="cs"/>
                <w:color w:val="000000"/>
                <w:sz w:val="24"/>
                <w:szCs w:val="24"/>
                <w:rtl/>
              </w:rPr>
              <w:t>לכבוד</w:t>
            </w:r>
          </w:p>
        </w:tc>
        <w:tc>
          <w:tcPr>
            <w:tcW w:w="3121" w:type="dxa"/>
          </w:tcPr>
          <w:p w14:paraId="5E248666" w14:textId="77777777" w:rsidR="006F6E0E" w:rsidRPr="00F0108C" w:rsidRDefault="006F6E0E" w:rsidP="00A30F0E">
            <w:pPr>
              <w:spacing w:after="120" w:line="360" w:lineRule="auto"/>
              <w:jc w:val="both"/>
              <w:rPr>
                <w:rFonts w:ascii="David" w:hAnsi="David" w:cs="David"/>
                <w:b/>
                <w:bCs/>
                <w:color w:val="000000"/>
                <w:sz w:val="24"/>
                <w:szCs w:val="24"/>
                <w:rtl/>
              </w:rPr>
            </w:pPr>
          </w:p>
        </w:tc>
        <w:tc>
          <w:tcPr>
            <w:tcW w:w="3011" w:type="dxa"/>
          </w:tcPr>
          <w:p w14:paraId="07E4B8CC" w14:textId="77777777" w:rsidR="006F6E0E" w:rsidRPr="00F0108C" w:rsidRDefault="006F6E0E" w:rsidP="00A30F0E">
            <w:pPr>
              <w:spacing w:after="120" w:line="360" w:lineRule="auto"/>
              <w:jc w:val="both"/>
              <w:rPr>
                <w:rFonts w:ascii="David" w:hAnsi="David" w:cs="David"/>
                <w:b/>
                <w:bCs/>
                <w:color w:val="000000"/>
                <w:sz w:val="24"/>
                <w:szCs w:val="24"/>
                <w:rtl/>
              </w:rPr>
            </w:pPr>
          </w:p>
        </w:tc>
      </w:tr>
      <w:tr w:rsidR="006F6E0E" w:rsidRPr="00F0108C" w14:paraId="3148AD1F" w14:textId="6C9231D0" w:rsidTr="006F6E0E">
        <w:trPr>
          <w:trHeight w:val="736"/>
        </w:trPr>
        <w:tc>
          <w:tcPr>
            <w:tcW w:w="3129" w:type="dxa"/>
          </w:tcPr>
          <w:p w14:paraId="7ACAF7C4" w14:textId="77777777" w:rsidR="006F6E0E" w:rsidRPr="00F0108C" w:rsidRDefault="006F6E0E" w:rsidP="00A30F0E">
            <w:pPr>
              <w:spacing w:line="300" w:lineRule="atLeast"/>
              <w:rPr>
                <w:rFonts w:ascii="Alasassy Caps" w:hAnsi="Alasassy Caps" w:cs="David"/>
                <w:b/>
                <w:bCs/>
                <w:color w:val="000000"/>
                <w:sz w:val="24"/>
                <w:szCs w:val="24"/>
                <w:rtl/>
              </w:rPr>
            </w:pPr>
            <w:r w:rsidRPr="00F0108C">
              <w:rPr>
                <w:rFonts w:ascii="Alasassy Caps" w:hAnsi="Alasassy Caps" w:cs="David"/>
                <w:b/>
                <w:bCs/>
                <w:color w:val="000000"/>
                <w:sz w:val="24"/>
                <w:szCs w:val="24"/>
                <w:rtl/>
              </w:rPr>
              <w:t xml:space="preserve">עו"ד </w:t>
            </w:r>
            <w:r w:rsidRPr="00F0108C">
              <w:rPr>
                <w:rFonts w:ascii="Alasassy Caps" w:hAnsi="Alasassy Caps" w:cs="David" w:hint="cs"/>
                <w:b/>
                <w:bCs/>
                <w:color w:val="000000"/>
                <w:sz w:val="24"/>
                <w:szCs w:val="24"/>
                <w:rtl/>
              </w:rPr>
              <w:t>אופיר ביתן</w:t>
            </w:r>
          </w:p>
          <w:p w14:paraId="57902319" w14:textId="77777777" w:rsidR="006F6E0E" w:rsidRPr="00F0108C" w:rsidRDefault="006F6E0E" w:rsidP="00A30F0E">
            <w:pPr>
              <w:spacing w:line="300" w:lineRule="atLeast"/>
              <w:rPr>
                <w:rFonts w:ascii="Alasassy Caps" w:hAnsi="Alasassy Caps" w:cs="David"/>
                <w:color w:val="000000"/>
                <w:sz w:val="24"/>
                <w:szCs w:val="24"/>
                <w:rtl/>
              </w:rPr>
            </w:pPr>
            <w:r w:rsidRPr="00F0108C">
              <w:rPr>
                <w:rFonts w:ascii="Alasassy Caps" w:hAnsi="Alasassy Caps" w:cs="David" w:hint="cs"/>
                <w:color w:val="000000"/>
                <w:sz w:val="24"/>
                <w:szCs w:val="24"/>
                <w:rtl/>
              </w:rPr>
              <w:t>יועץ משפטי</w:t>
            </w:r>
          </w:p>
          <w:p w14:paraId="4F9F4A87" w14:textId="50E9D280" w:rsidR="006F6E0E" w:rsidRPr="00F0108C" w:rsidRDefault="006F6E0E" w:rsidP="00A30F0E">
            <w:pPr>
              <w:spacing w:line="300" w:lineRule="atLeast"/>
              <w:rPr>
                <w:rFonts w:ascii="Alasassy Caps" w:hAnsi="Alasassy Caps" w:cs="David"/>
                <w:color w:val="000000"/>
                <w:rtl/>
              </w:rPr>
            </w:pPr>
            <w:r w:rsidRPr="00F0108C">
              <w:rPr>
                <w:rFonts w:ascii="Alasassy Caps" w:hAnsi="Alasassy Caps" w:cs="David" w:hint="cs"/>
                <w:color w:val="000000"/>
                <w:sz w:val="24"/>
                <w:szCs w:val="24"/>
                <w:rtl/>
              </w:rPr>
              <w:t xml:space="preserve">הרשות השנייה </w:t>
            </w:r>
            <w:proofErr w:type="spellStart"/>
            <w:r w:rsidRPr="00F0108C">
              <w:rPr>
                <w:rFonts w:ascii="Alasassy Caps" w:hAnsi="Alasassy Caps" w:cs="David" w:hint="cs"/>
                <w:color w:val="000000"/>
                <w:sz w:val="24"/>
                <w:szCs w:val="24"/>
                <w:rtl/>
              </w:rPr>
              <w:t>לטלויזי</w:t>
            </w:r>
            <w:r w:rsidRPr="00F0108C">
              <w:rPr>
                <w:rFonts w:ascii="Alasassy Caps" w:hAnsi="Alasassy Caps" w:cs="David" w:hint="eastAsia"/>
                <w:color w:val="000000"/>
                <w:sz w:val="24"/>
                <w:szCs w:val="24"/>
                <w:rtl/>
              </w:rPr>
              <w:t>ה</w:t>
            </w:r>
            <w:proofErr w:type="spellEnd"/>
            <w:r w:rsidRPr="00F0108C">
              <w:rPr>
                <w:rFonts w:ascii="Alasassy Caps" w:hAnsi="Alasassy Caps" w:cs="David" w:hint="cs"/>
                <w:color w:val="000000"/>
                <w:sz w:val="24"/>
                <w:szCs w:val="24"/>
                <w:rtl/>
              </w:rPr>
              <w:t xml:space="preserve"> ורדיו</w:t>
            </w:r>
          </w:p>
        </w:tc>
        <w:tc>
          <w:tcPr>
            <w:tcW w:w="3121" w:type="dxa"/>
          </w:tcPr>
          <w:p w14:paraId="2CFAEBB8" w14:textId="77777777" w:rsidR="006F6E0E" w:rsidRPr="00F0108C" w:rsidRDefault="006F6E0E" w:rsidP="00A30F0E">
            <w:pPr>
              <w:spacing w:line="300" w:lineRule="atLeast"/>
              <w:jc w:val="both"/>
              <w:rPr>
                <w:rFonts w:ascii="David" w:hAnsi="David" w:cs="David"/>
                <w:b/>
                <w:bCs/>
                <w:color w:val="000000"/>
                <w:sz w:val="24"/>
                <w:szCs w:val="24"/>
                <w:rtl/>
              </w:rPr>
            </w:pPr>
            <w:r>
              <w:rPr>
                <w:rFonts w:ascii="David" w:hAnsi="David" w:cs="David" w:hint="cs"/>
                <w:b/>
                <w:bCs/>
                <w:color w:val="000000"/>
                <w:sz w:val="24"/>
                <w:szCs w:val="24"/>
                <w:rtl/>
              </w:rPr>
              <w:t xml:space="preserve">מר מרדכי </w:t>
            </w:r>
            <w:proofErr w:type="spellStart"/>
            <w:r>
              <w:rPr>
                <w:rFonts w:ascii="David" w:hAnsi="David" w:cs="David" w:hint="cs"/>
                <w:b/>
                <w:bCs/>
                <w:color w:val="000000"/>
                <w:sz w:val="24"/>
                <w:szCs w:val="24"/>
                <w:rtl/>
              </w:rPr>
              <w:t>מרדכי</w:t>
            </w:r>
            <w:proofErr w:type="spellEnd"/>
          </w:p>
          <w:p w14:paraId="3131C10B" w14:textId="77777777" w:rsidR="006F6E0E" w:rsidRPr="00F0108C" w:rsidRDefault="006F6E0E" w:rsidP="00A30F0E">
            <w:pPr>
              <w:spacing w:line="300" w:lineRule="atLeast"/>
              <w:rPr>
                <w:rFonts w:ascii="David" w:hAnsi="David" w:cs="David"/>
                <w:color w:val="000000"/>
                <w:sz w:val="24"/>
                <w:szCs w:val="24"/>
                <w:rtl/>
              </w:rPr>
            </w:pPr>
            <w:r>
              <w:rPr>
                <w:rFonts w:ascii="David" w:hAnsi="David" w:cs="David" w:hint="cs"/>
                <w:color w:val="000000"/>
                <w:sz w:val="24"/>
                <w:szCs w:val="24"/>
                <w:rtl/>
              </w:rPr>
              <w:t>יושב</w:t>
            </w:r>
            <w:r w:rsidRPr="00F0108C">
              <w:rPr>
                <w:rFonts w:ascii="David" w:hAnsi="David" w:cs="David" w:hint="cs"/>
                <w:color w:val="000000"/>
                <w:sz w:val="24"/>
                <w:szCs w:val="24"/>
                <w:rtl/>
              </w:rPr>
              <w:t xml:space="preserve"> ראש המועצה</w:t>
            </w:r>
          </w:p>
          <w:p w14:paraId="5CC79C9C" w14:textId="4CB6D855" w:rsidR="006F6E0E" w:rsidRPr="00F0108C" w:rsidRDefault="006F6E0E" w:rsidP="00A30F0E">
            <w:pPr>
              <w:spacing w:line="300" w:lineRule="atLeast"/>
              <w:rPr>
                <w:rFonts w:ascii="David" w:hAnsi="David" w:cs="David"/>
                <w:color w:val="000000"/>
                <w:sz w:val="24"/>
                <w:szCs w:val="24"/>
                <w:rtl/>
              </w:rPr>
            </w:pPr>
            <w:r w:rsidRPr="00F0108C">
              <w:rPr>
                <w:rFonts w:ascii="Alasassy Caps" w:hAnsi="Alasassy Caps" w:cs="David" w:hint="cs"/>
                <w:color w:val="000000"/>
                <w:sz w:val="24"/>
                <w:szCs w:val="24"/>
                <w:rtl/>
              </w:rPr>
              <w:t xml:space="preserve">הרשות השנייה </w:t>
            </w:r>
            <w:proofErr w:type="spellStart"/>
            <w:r>
              <w:rPr>
                <w:rFonts w:ascii="Alasassy Caps" w:hAnsi="Alasassy Caps" w:cs="David" w:hint="cs"/>
                <w:color w:val="000000"/>
                <w:sz w:val="24"/>
                <w:szCs w:val="24"/>
                <w:rtl/>
              </w:rPr>
              <w:t>לטלויזיה</w:t>
            </w:r>
            <w:proofErr w:type="spellEnd"/>
            <w:r w:rsidRPr="00F0108C">
              <w:rPr>
                <w:rFonts w:ascii="Alasassy Caps" w:hAnsi="Alasassy Caps" w:cs="David" w:hint="cs"/>
                <w:color w:val="000000"/>
                <w:sz w:val="24"/>
                <w:szCs w:val="24"/>
                <w:rtl/>
              </w:rPr>
              <w:t xml:space="preserve"> ורדיו</w:t>
            </w:r>
          </w:p>
        </w:tc>
        <w:tc>
          <w:tcPr>
            <w:tcW w:w="3011" w:type="dxa"/>
          </w:tcPr>
          <w:p w14:paraId="3F8DF23F" w14:textId="77777777" w:rsidR="006F6E0E" w:rsidRDefault="006F6E0E" w:rsidP="00A30F0E">
            <w:pPr>
              <w:spacing w:line="300" w:lineRule="atLeast"/>
              <w:jc w:val="both"/>
              <w:rPr>
                <w:rFonts w:ascii="David" w:hAnsi="David" w:cs="David" w:hint="cs"/>
                <w:b/>
                <w:bCs/>
                <w:color w:val="000000"/>
                <w:sz w:val="24"/>
                <w:szCs w:val="24"/>
                <w:rtl/>
              </w:rPr>
            </w:pPr>
          </w:p>
        </w:tc>
      </w:tr>
      <w:tr w:rsidR="006F6E0E" w:rsidRPr="00F0108C" w14:paraId="57635708" w14:textId="43933420" w:rsidTr="006F6E0E">
        <w:trPr>
          <w:trHeight w:val="259"/>
        </w:trPr>
        <w:tc>
          <w:tcPr>
            <w:tcW w:w="3129" w:type="dxa"/>
          </w:tcPr>
          <w:p w14:paraId="4C263A0E" w14:textId="77777777" w:rsidR="006F6E0E" w:rsidRPr="00F0108C" w:rsidRDefault="006F6E0E" w:rsidP="00A30F0E">
            <w:pPr>
              <w:spacing w:line="300" w:lineRule="atLeast"/>
              <w:jc w:val="both"/>
              <w:rPr>
                <w:rFonts w:ascii="David" w:hAnsi="David" w:cs="David"/>
                <w:color w:val="000000"/>
                <w:sz w:val="24"/>
                <w:szCs w:val="24"/>
                <w:u w:val="single"/>
                <w:rtl/>
              </w:rPr>
            </w:pPr>
            <w:r w:rsidRPr="00F0108C">
              <w:rPr>
                <w:rFonts w:ascii="David" w:hAnsi="David" w:cs="David" w:hint="cs"/>
                <w:color w:val="000000"/>
                <w:sz w:val="24"/>
                <w:szCs w:val="24"/>
                <w:u w:val="single"/>
                <w:rtl/>
              </w:rPr>
              <w:t>ירושלים</w:t>
            </w:r>
          </w:p>
          <w:p w14:paraId="718E02F9" w14:textId="77777777" w:rsidR="006F6E0E" w:rsidRPr="00F0108C" w:rsidRDefault="006F6E0E" w:rsidP="00A30F0E">
            <w:pPr>
              <w:spacing w:before="240" w:after="120" w:line="300" w:lineRule="atLeast"/>
              <w:jc w:val="both"/>
              <w:rPr>
                <w:rFonts w:ascii="David" w:hAnsi="David" w:cs="David"/>
                <w:color w:val="000000"/>
                <w:sz w:val="24"/>
                <w:szCs w:val="24"/>
                <w:rtl/>
              </w:rPr>
            </w:pPr>
            <w:r w:rsidRPr="00F0108C">
              <w:rPr>
                <w:rFonts w:ascii="David" w:hAnsi="David" w:cs="David" w:hint="eastAsia"/>
                <w:color w:val="000000"/>
                <w:sz w:val="24"/>
                <w:szCs w:val="24"/>
                <w:rtl/>
              </w:rPr>
              <w:t>שלום</w:t>
            </w:r>
            <w:r w:rsidRPr="00F0108C">
              <w:rPr>
                <w:rFonts w:ascii="David" w:hAnsi="David" w:cs="David"/>
                <w:color w:val="000000"/>
                <w:sz w:val="24"/>
                <w:szCs w:val="24"/>
                <w:rtl/>
              </w:rPr>
              <w:t xml:space="preserve"> רב,</w:t>
            </w:r>
          </w:p>
        </w:tc>
        <w:tc>
          <w:tcPr>
            <w:tcW w:w="3121" w:type="dxa"/>
          </w:tcPr>
          <w:p w14:paraId="70150D21" w14:textId="77777777" w:rsidR="006F6E0E" w:rsidRPr="00F0108C" w:rsidRDefault="006F6E0E" w:rsidP="00A30F0E">
            <w:pPr>
              <w:spacing w:line="300" w:lineRule="atLeast"/>
              <w:jc w:val="both"/>
              <w:rPr>
                <w:rFonts w:ascii="David" w:hAnsi="David" w:cs="David"/>
                <w:color w:val="000000"/>
                <w:rtl/>
              </w:rPr>
            </w:pPr>
            <w:r w:rsidRPr="00F0108C">
              <w:rPr>
                <w:rFonts w:ascii="David" w:hAnsi="David" w:cs="David" w:hint="cs"/>
                <w:color w:val="000000"/>
                <w:sz w:val="24"/>
                <w:szCs w:val="24"/>
                <w:u w:val="single"/>
                <w:rtl/>
              </w:rPr>
              <w:t>ירושלים</w:t>
            </w:r>
          </w:p>
        </w:tc>
        <w:tc>
          <w:tcPr>
            <w:tcW w:w="3011" w:type="dxa"/>
          </w:tcPr>
          <w:p w14:paraId="01439648" w14:textId="77777777" w:rsidR="006F6E0E" w:rsidRPr="00F0108C" w:rsidRDefault="006F6E0E" w:rsidP="00A30F0E">
            <w:pPr>
              <w:spacing w:line="300" w:lineRule="atLeast"/>
              <w:jc w:val="both"/>
              <w:rPr>
                <w:rFonts w:ascii="David" w:hAnsi="David" w:cs="David" w:hint="cs"/>
                <w:color w:val="000000"/>
                <w:sz w:val="24"/>
                <w:szCs w:val="24"/>
                <w:u w:val="single"/>
                <w:rtl/>
              </w:rPr>
            </w:pPr>
          </w:p>
        </w:tc>
      </w:tr>
    </w:tbl>
    <w:p w14:paraId="190EAF8A" w14:textId="04094D6D" w:rsidR="00CA5BAD" w:rsidRPr="00F0108C" w:rsidRDefault="00CA5BAD" w:rsidP="00351437">
      <w:pPr>
        <w:spacing w:before="120" w:after="120" w:line="360" w:lineRule="auto"/>
        <w:ind w:left="-567" w:right="-567"/>
        <w:jc w:val="center"/>
        <w:rPr>
          <w:rFonts w:ascii="David" w:hAnsi="David" w:cs="David"/>
          <w:b/>
          <w:bCs/>
          <w:color w:val="000000"/>
          <w:sz w:val="28"/>
          <w:szCs w:val="28"/>
          <w:u w:val="single"/>
          <w:rtl/>
        </w:rPr>
      </w:pPr>
      <w:r w:rsidRPr="00772692">
        <w:rPr>
          <w:rFonts w:ascii="David" w:hAnsi="David" w:cs="David" w:hint="eastAsia"/>
          <w:b/>
          <w:bCs/>
          <w:color w:val="000000"/>
          <w:sz w:val="28"/>
          <w:szCs w:val="28"/>
          <w:rtl/>
        </w:rPr>
        <w:t>הנדון</w:t>
      </w:r>
      <w:r w:rsidRPr="00F0108C">
        <w:rPr>
          <w:rFonts w:ascii="David" w:hAnsi="David" w:cs="David"/>
          <w:color w:val="000000"/>
          <w:sz w:val="28"/>
          <w:szCs w:val="28"/>
          <w:rtl/>
        </w:rPr>
        <w:t>:</w:t>
      </w:r>
      <w:r w:rsidRPr="00F0108C">
        <w:rPr>
          <w:rFonts w:ascii="David" w:hAnsi="David" w:cs="David"/>
          <w:b/>
          <w:bCs/>
          <w:color w:val="000000"/>
          <w:sz w:val="28"/>
          <w:szCs w:val="28"/>
          <w:rtl/>
        </w:rPr>
        <w:t xml:space="preserve"> </w:t>
      </w:r>
      <w:r w:rsidRPr="00F0108C">
        <w:rPr>
          <w:rFonts w:ascii="David" w:hAnsi="David" w:cs="David"/>
          <w:b/>
          <w:bCs/>
          <w:color w:val="000000"/>
          <w:sz w:val="28"/>
          <w:szCs w:val="28"/>
          <w:u w:val="single"/>
          <w:rtl/>
        </w:rPr>
        <w:t>פרסום רשימת</w:t>
      </w:r>
      <w:r w:rsidR="00E12C53">
        <w:rPr>
          <w:rFonts w:ascii="David" w:hAnsi="David" w:cs="David" w:hint="cs"/>
          <w:b/>
          <w:bCs/>
          <w:color w:val="000000"/>
          <w:sz w:val="28"/>
          <w:szCs w:val="28"/>
          <w:u w:val="single"/>
          <w:rtl/>
        </w:rPr>
        <w:t xml:space="preserve"> </w:t>
      </w:r>
      <w:r w:rsidR="009375DC">
        <w:rPr>
          <w:rFonts w:ascii="David" w:hAnsi="David" w:cs="David" w:hint="cs"/>
          <w:b/>
          <w:bCs/>
          <w:color w:val="000000"/>
          <w:sz w:val="28"/>
          <w:szCs w:val="28"/>
          <w:u w:val="single"/>
          <w:rtl/>
        </w:rPr>
        <w:t xml:space="preserve">של </w:t>
      </w:r>
      <w:r w:rsidR="00E12C53">
        <w:rPr>
          <w:rFonts w:ascii="David" w:hAnsi="David" w:cs="David" w:hint="cs"/>
          <w:b/>
          <w:bCs/>
          <w:color w:val="000000"/>
          <w:sz w:val="28"/>
          <w:szCs w:val="28"/>
          <w:u w:val="single"/>
          <w:rtl/>
        </w:rPr>
        <w:t xml:space="preserve">בעלי </w:t>
      </w:r>
      <w:r w:rsidR="009375DC">
        <w:rPr>
          <w:rFonts w:ascii="David" w:hAnsi="David" w:cs="David" w:hint="cs"/>
          <w:b/>
          <w:bCs/>
          <w:color w:val="000000"/>
          <w:sz w:val="28"/>
          <w:szCs w:val="28"/>
          <w:u w:val="single"/>
          <w:rtl/>
        </w:rPr>
        <w:t>'</w:t>
      </w:r>
      <w:r w:rsidR="00E12C53">
        <w:rPr>
          <w:rFonts w:ascii="David" w:hAnsi="David" w:cs="David" w:hint="cs"/>
          <w:b/>
          <w:bCs/>
          <w:color w:val="000000"/>
          <w:sz w:val="28"/>
          <w:szCs w:val="28"/>
          <w:u w:val="single"/>
          <w:rtl/>
        </w:rPr>
        <w:t>רישיו</w:t>
      </w:r>
      <w:r w:rsidR="009375DC">
        <w:rPr>
          <w:rFonts w:ascii="David" w:hAnsi="David" w:cs="David" w:hint="cs"/>
          <w:b/>
          <w:bCs/>
          <w:color w:val="000000"/>
          <w:sz w:val="28"/>
          <w:szCs w:val="28"/>
          <w:u w:val="single"/>
          <w:rtl/>
        </w:rPr>
        <w:t>נות</w:t>
      </w:r>
      <w:r w:rsidRPr="00F0108C">
        <w:rPr>
          <w:rFonts w:ascii="David" w:hAnsi="David" w:cs="David"/>
          <w:b/>
          <w:bCs/>
          <w:color w:val="000000"/>
          <w:sz w:val="28"/>
          <w:szCs w:val="28"/>
          <w:u w:val="single"/>
          <w:rtl/>
        </w:rPr>
        <w:t xml:space="preserve"> </w:t>
      </w:r>
      <w:r w:rsidR="00D82B63">
        <w:rPr>
          <w:rFonts w:ascii="David" w:hAnsi="David" w:cs="David" w:hint="cs"/>
          <w:b/>
          <w:bCs/>
          <w:color w:val="000000"/>
          <w:sz w:val="28"/>
          <w:szCs w:val="28"/>
          <w:u w:val="single"/>
          <w:rtl/>
        </w:rPr>
        <w:t>'</w:t>
      </w:r>
      <w:r w:rsidRPr="00F0108C">
        <w:rPr>
          <w:rFonts w:ascii="David" w:hAnsi="David" w:cs="David"/>
          <w:b/>
          <w:bCs/>
          <w:color w:val="000000"/>
          <w:sz w:val="28"/>
          <w:szCs w:val="28"/>
          <w:u w:val="single"/>
          <w:rtl/>
        </w:rPr>
        <w:t>זעירים</w:t>
      </w:r>
      <w:r w:rsidR="00D82B63">
        <w:rPr>
          <w:rFonts w:ascii="David" w:hAnsi="David" w:cs="David" w:hint="cs"/>
          <w:b/>
          <w:bCs/>
          <w:color w:val="000000"/>
          <w:sz w:val="28"/>
          <w:szCs w:val="28"/>
          <w:u w:val="single"/>
          <w:rtl/>
        </w:rPr>
        <w:t>'</w:t>
      </w:r>
      <w:r w:rsidRPr="00F0108C">
        <w:rPr>
          <w:rFonts w:ascii="David" w:hAnsi="David" w:cs="David"/>
          <w:b/>
          <w:bCs/>
          <w:color w:val="000000"/>
          <w:sz w:val="28"/>
          <w:szCs w:val="28"/>
          <w:u w:val="single"/>
          <w:rtl/>
        </w:rPr>
        <w:t xml:space="preserve"> </w:t>
      </w:r>
      <w:r w:rsidR="00D82B63" w:rsidRPr="00F0108C">
        <w:rPr>
          <w:rFonts w:ascii="David" w:hAnsi="David" w:cs="David"/>
          <w:b/>
          <w:bCs/>
          <w:color w:val="000000"/>
          <w:sz w:val="28"/>
          <w:szCs w:val="28"/>
          <w:u w:val="single"/>
          <w:rtl/>
        </w:rPr>
        <w:t>לשנ</w:t>
      </w:r>
      <w:r w:rsidR="00D82B63">
        <w:rPr>
          <w:rFonts w:ascii="David" w:hAnsi="David" w:cs="David" w:hint="cs"/>
          <w:b/>
          <w:bCs/>
          <w:color w:val="000000"/>
          <w:sz w:val="28"/>
          <w:szCs w:val="28"/>
          <w:u w:val="single"/>
          <w:rtl/>
        </w:rPr>
        <w:t>ים</w:t>
      </w:r>
      <w:r w:rsidR="00D82B63" w:rsidRPr="00F0108C">
        <w:rPr>
          <w:rFonts w:ascii="David" w:hAnsi="David" w:cs="David"/>
          <w:b/>
          <w:bCs/>
          <w:color w:val="000000"/>
          <w:sz w:val="28"/>
          <w:szCs w:val="28"/>
          <w:u w:val="single"/>
          <w:rtl/>
        </w:rPr>
        <w:t xml:space="preserve"> </w:t>
      </w:r>
      <w:r w:rsidR="00772692">
        <w:rPr>
          <w:rFonts w:ascii="David" w:hAnsi="David" w:cs="David" w:hint="cs"/>
          <w:b/>
          <w:bCs/>
          <w:color w:val="000000"/>
          <w:sz w:val="28"/>
          <w:szCs w:val="28"/>
          <w:u w:val="single"/>
          <w:rtl/>
        </w:rPr>
        <w:t>2024-2025</w:t>
      </w:r>
      <w:r w:rsidR="009D6EEC">
        <w:rPr>
          <w:rFonts w:ascii="David" w:hAnsi="David" w:cs="David" w:hint="cs"/>
          <w:b/>
          <w:bCs/>
          <w:color w:val="000000"/>
          <w:sz w:val="28"/>
          <w:szCs w:val="28"/>
          <w:u w:val="single"/>
          <w:rtl/>
        </w:rPr>
        <w:t xml:space="preserve"> </w:t>
      </w:r>
      <w:r w:rsidR="00D0589A">
        <w:rPr>
          <w:rFonts w:ascii="David" w:hAnsi="David" w:cs="David" w:hint="cs"/>
          <w:b/>
          <w:bCs/>
          <w:color w:val="000000"/>
          <w:sz w:val="28"/>
          <w:szCs w:val="28"/>
          <w:u w:val="single"/>
          <w:rtl/>
        </w:rPr>
        <w:t>בהתאם לדין</w:t>
      </w:r>
    </w:p>
    <w:p w14:paraId="63710E9B" w14:textId="5AF1F25A" w:rsidR="00CA5BAD" w:rsidRPr="00F0108C" w:rsidRDefault="00CA5BAD" w:rsidP="00351437">
      <w:pPr>
        <w:spacing w:before="120" w:after="0" w:line="360" w:lineRule="auto"/>
        <w:ind w:left="-454" w:right="-454"/>
        <w:jc w:val="both"/>
        <w:rPr>
          <w:rFonts w:ascii="David" w:hAnsi="David" w:cs="David"/>
          <w:color w:val="000000"/>
          <w:sz w:val="24"/>
          <w:szCs w:val="24"/>
          <w:rtl/>
        </w:rPr>
      </w:pPr>
      <w:r w:rsidRPr="00F0108C">
        <w:rPr>
          <w:rFonts w:ascii="David" w:hAnsi="David" w:cs="David" w:hint="eastAsia"/>
          <w:color w:val="000000"/>
          <w:sz w:val="24"/>
          <w:szCs w:val="24"/>
          <w:rtl/>
        </w:rPr>
        <w:t>בשם</w:t>
      </w:r>
      <w:r w:rsidRPr="00F0108C">
        <w:rPr>
          <w:rFonts w:ascii="David" w:hAnsi="David" w:cs="David"/>
          <w:color w:val="000000"/>
          <w:sz w:val="24"/>
          <w:szCs w:val="24"/>
          <w:rtl/>
        </w:rPr>
        <w:t xml:space="preserve"> התנועה למען איכות השלטון בישראל, ע"ר (להלן: "</w:t>
      </w:r>
      <w:r w:rsidRPr="00F0108C">
        <w:rPr>
          <w:rFonts w:ascii="David" w:hAnsi="David" w:cs="David" w:hint="cs"/>
          <w:b/>
          <w:bCs/>
          <w:color w:val="000000"/>
          <w:sz w:val="24"/>
          <w:szCs w:val="24"/>
          <w:rtl/>
        </w:rPr>
        <w:t>התנועה</w:t>
      </w:r>
      <w:r w:rsidRPr="00F0108C">
        <w:rPr>
          <w:rFonts w:ascii="David" w:hAnsi="David" w:cs="David"/>
          <w:color w:val="000000"/>
          <w:sz w:val="24"/>
          <w:szCs w:val="24"/>
          <w:rtl/>
        </w:rPr>
        <w:t>"), אנו מתכבדים לפנות אליכם</w:t>
      </w:r>
      <w:r w:rsidRPr="00F0108C">
        <w:rPr>
          <w:rFonts w:ascii="David" w:hAnsi="David" w:cs="David" w:hint="cs"/>
          <w:color w:val="000000"/>
          <w:sz w:val="24"/>
          <w:szCs w:val="24"/>
          <w:rtl/>
        </w:rPr>
        <w:t xml:space="preserve"> </w:t>
      </w:r>
      <w:r w:rsidR="00EF169F">
        <w:rPr>
          <w:rFonts w:ascii="David" w:hAnsi="David" w:cs="David" w:hint="cs"/>
          <w:color w:val="000000"/>
          <w:sz w:val="24"/>
          <w:szCs w:val="24"/>
          <w:rtl/>
        </w:rPr>
        <w:t>בבקשה לפרסם את רשימת בעלי הרישיונות זעירים</w:t>
      </w:r>
      <w:r w:rsidR="006C3F96">
        <w:rPr>
          <w:rFonts w:ascii="David" w:hAnsi="David" w:cs="David" w:hint="cs"/>
          <w:color w:val="000000"/>
          <w:sz w:val="24"/>
          <w:szCs w:val="24"/>
          <w:rtl/>
        </w:rPr>
        <w:t>, כדלהלן</w:t>
      </w:r>
      <w:r w:rsidRPr="00F0108C">
        <w:rPr>
          <w:rFonts w:ascii="David" w:hAnsi="David" w:cs="David"/>
          <w:color w:val="000000"/>
          <w:sz w:val="24"/>
          <w:szCs w:val="24"/>
          <w:rtl/>
        </w:rPr>
        <w:t>:</w:t>
      </w:r>
    </w:p>
    <w:p w14:paraId="3DA3C175" w14:textId="7031F0F3" w:rsidR="00E00E45" w:rsidRDefault="00DE0847" w:rsidP="00351437">
      <w:pPr>
        <w:numPr>
          <w:ilvl w:val="0"/>
          <w:numId w:val="1"/>
        </w:numPr>
        <w:spacing w:before="120" w:after="0" w:line="360" w:lineRule="auto"/>
        <w:ind w:left="-454" w:right="-454"/>
        <w:jc w:val="both"/>
        <w:rPr>
          <w:rFonts w:ascii="Times New Roman" w:eastAsia="Times New Roman" w:hAnsi="Times New Roman" w:cs="David"/>
          <w:color w:val="000000"/>
          <w:sz w:val="24"/>
          <w:szCs w:val="24"/>
        </w:rPr>
      </w:pPr>
      <w:r>
        <w:rPr>
          <w:rFonts w:ascii="Times New Roman" w:eastAsia="Times New Roman" w:hAnsi="Times New Roman" w:cs="David" w:hint="cs"/>
          <w:color w:val="000000"/>
          <w:sz w:val="24"/>
          <w:szCs w:val="24"/>
          <w:rtl/>
        </w:rPr>
        <w:t xml:space="preserve">כידוע, </w:t>
      </w:r>
      <w:r w:rsidRPr="00F0108C">
        <w:rPr>
          <w:rFonts w:ascii="Times New Roman" w:eastAsia="Times New Roman" w:hAnsi="Times New Roman" w:cs="David"/>
          <w:color w:val="000000"/>
          <w:sz w:val="24"/>
          <w:szCs w:val="24"/>
          <w:rtl/>
        </w:rPr>
        <w:t xml:space="preserve">סעיף 71ו לחוק הרשות השנייה </w:t>
      </w:r>
      <w:proofErr w:type="spellStart"/>
      <w:r w:rsidR="00772692" w:rsidRPr="00F0108C">
        <w:rPr>
          <w:rFonts w:ascii="Times New Roman" w:eastAsia="Times New Roman" w:hAnsi="Times New Roman" w:cs="David" w:hint="cs"/>
          <w:color w:val="000000"/>
          <w:sz w:val="24"/>
          <w:szCs w:val="24"/>
          <w:rtl/>
        </w:rPr>
        <w:t>לטל</w:t>
      </w:r>
      <w:r w:rsidR="00772692">
        <w:rPr>
          <w:rFonts w:ascii="Times New Roman" w:eastAsia="Times New Roman" w:hAnsi="Times New Roman" w:cs="David" w:hint="cs"/>
          <w:color w:val="000000"/>
          <w:sz w:val="24"/>
          <w:szCs w:val="24"/>
          <w:rtl/>
        </w:rPr>
        <w:t>ויזי</w:t>
      </w:r>
      <w:r w:rsidR="00772692">
        <w:rPr>
          <w:rFonts w:ascii="Times New Roman" w:eastAsia="Times New Roman" w:hAnsi="Times New Roman" w:cs="David" w:hint="eastAsia"/>
          <w:color w:val="000000"/>
          <w:sz w:val="24"/>
          <w:szCs w:val="24"/>
          <w:rtl/>
        </w:rPr>
        <w:t>ה</w:t>
      </w:r>
      <w:proofErr w:type="spellEnd"/>
      <w:r>
        <w:rPr>
          <w:rFonts w:ascii="Times New Roman" w:eastAsia="Times New Roman" w:hAnsi="Times New Roman" w:cs="David"/>
          <w:color w:val="000000"/>
          <w:sz w:val="24"/>
          <w:szCs w:val="24"/>
          <w:rtl/>
        </w:rPr>
        <w:t xml:space="preserve"> ולרדיו, </w:t>
      </w:r>
      <w:proofErr w:type="spellStart"/>
      <w:r>
        <w:rPr>
          <w:rFonts w:ascii="Times New Roman" w:eastAsia="Times New Roman" w:hAnsi="Times New Roman" w:cs="David"/>
          <w:color w:val="000000"/>
          <w:sz w:val="24"/>
          <w:szCs w:val="24"/>
          <w:rtl/>
        </w:rPr>
        <w:t>התש"ן</w:t>
      </w:r>
      <w:proofErr w:type="spellEnd"/>
      <w:r>
        <w:rPr>
          <w:rFonts w:ascii="Times New Roman" w:eastAsia="Times New Roman" w:hAnsi="Times New Roman" w:cs="David"/>
          <w:color w:val="000000"/>
          <w:sz w:val="24"/>
          <w:szCs w:val="24"/>
          <w:rtl/>
        </w:rPr>
        <w:t>–1990</w:t>
      </w:r>
      <w:r>
        <w:rPr>
          <w:rFonts w:ascii="Times New Roman" w:eastAsia="Times New Roman" w:hAnsi="Times New Roman" w:cs="David" w:hint="cs"/>
          <w:color w:val="000000"/>
          <w:sz w:val="24"/>
          <w:szCs w:val="24"/>
          <w:rtl/>
        </w:rPr>
        <w:t xml:space="preserve"> (להלן: "</w:t>
      </w:r>
      <w:r w:rsidRPr="00772692">
        <w:rPr>
          <w:rFonts w:ascii="Times New Roman" w:eastAsia="Times New Roman" w:hAnsi="Times New Roman" w:cs="David" w:hint="eastAsia"/>
          <w:b/>
          <w:bCs/>
          <w:color w:val="000000"/>
          <w:sz w:val="24"/>
          <w:szCs w:val="24"/>
          <w:rtl/>
        </w:rPr>
        <w:t>חוק</w:t>
      </w:r>
      <w:r w:rsidRPr="00772692">
        <w:rPr>
          <w:rFonts w:ascii="Times New Roman" w:eastAsia="Times New Roman" w:hAnsi="Times New Roman" w:cs="David"/>
          <w:b/>
          <w:bCs/>
          <w:color w:val="000000"/>
          <w:sz w:val="24"/>
          <w:szCs w:val="24"/>
          <w:rtl/>
        </w:rPr>
        <w:t xml:space="preserve"> הרשות השנייה</w:t>
      </w:r>
      <w:r>
        <w:rPr>
          <w:rFonts w:ascii="Times New Roman" w:eastAsia="Times New Roman" w:hAnsi="Times New Roman" w:cs="David" w:hint="cs"/>
          <w:color w:val="000000"/>
          <w:sz w:val="24"/>
          <w:szCs w:val="24"/>
          <w:rtl/>
        </w:rPr>
        <w:t>")</w:t>
      </w:r>
      <w:r>
        <w:rPr>
          <w:rFonts w:ascii="Times New Roman" w:eastAsia="Times New Roman" w:hAnsi="Times New Roman" w:cs="David"/>
          <w:color w:val="000000"/>
          <w:sz w:val="24"/>
          <w:szCs w:val="24"/>
          <w:rtl/>
        </w:rPr>
        <w:t xml:space="preserve">, מגדיר </w:t>
      </w:r>
      <w:r w:rsidR="00717331">
        <w:rPr>
          <w:rFonts w:ascii="Times New Roman" w:eastAsia="Times New Roman" w:hAnsi="Times New Roman" w:cs="David" w:hint="cs"/>
          <w:color w:val="000000"/>
          <w:sz w:val="24"/>
          <w:szCs w:val="24"/>
          <w:rtl/>
        </w:rPr>
        <w:t>בעל רישיון</w:t>
      </w:r>
      <w:r>
        <w:rPr>
          <w:rFonts w:ascii="Times New Roman" w:eastAsia="Times New Roman" w:hAnsi="Times New Roman" w:cs="David"/>
          <w:color w:val="000000"/>
          <w:sz w:val="24"/>
          <w:szCs w:val="24"/>
          <w:rtl/>
        </w:rPr>
        <w:t xml:space="preserve"> זעיר</w:t>
      </w:r>
      <w:r w:rsidR="00717331">
        <w:rPr>
          <w:rFonts w:ascii="Times New Roman" w:eastAsia="Times New Roman" w:hAnsi="Times New Roman" w:cs="David" w:hint="cs"/>
          <w:color w:val="000000"/>
          <w:sz w:val="24"/>
          <w:szCs w:val="24"/>
          <w:rtl/>
        </w:rPr>
        <w:t xml:space="preserve"> (להלן יכונה: "</w:t>
      </w:r>
      <w:r w:rsidR="00717331" w:rsidRPr="00772692">
        <w:rPr>
          <w:rFonts w:ascii="Times New Roman" w:eastAsia="Times New Roman" w:hAnsi="Times New Roman" w:cs="David" w:hint="eastAsia"/>
          <w:b/>
          <w:bCs/>
          <w:color w:val="000000"/>
          <w:sz w:val="24"/>
          <w:szCs w:val="24"/>
          <w:rtl/>
        </w:rPr>
        <w:t>ערוץ</w:t>
      </w:r>
      <w:r w:rsidR="00717331" w:rsidRPr="00772692">
        <w:rPr>
          <w:rFonts w:ascii="Times New Roman" w:eastAsia="Times New Roman" w:hAnsi="Times New Roman" w:cs="David"/>
          <w:b/>
          <w:bCs/>
          <w:color w:val="000000"/>
          <w:sz w:val="24"/>
          <w:szCs w:val="24"/>
          <w:rtl/>
        </w:rPr>
        <w:t xml:space="preserve"> זעיר</w:t>
      </w:r>
      <w:r w:rsidR="00717331">
        <w:rPr>
          <w:rFonts w:ascii="Times New Roman" w:eastAsia="Times New Roman" w:hAnsi="Times New Roman" w:cs="David" w:hint="cs"/>
          <w:color w:val="000000"/>
          <w:sz w:val="24"/>
          <w:szCs w:val="24"/>
          <w:rtl/>
        </w:rPr>
        <w:t>")</w:t>
      </w:r>
      <w:r w:rsidRPr="00F0108C">
        <w:rPr>
          <w:rFonts w:ascii="Times New Roman" w:eastAsia="Times New Roman" w:hAnsi="Times New Roman" w:cs="David"/>
          <w:color w:val="000000"/>
          <w:sz w:val="24"/>
          <w:szCs w:val="24"/>
          <w:rtl/>
        </w:rPr>
        <w:t xml:space="preserve"> כערוץ שהכנסותיו השנתיות</w:t>
      </w:r>
      <w:r w:rsidR="0051334D">
        <w:rPr>
          <w:rFonts w:ascii="Times New Roman" w:eastAsia="Times New Roman" w:hAnsi="Times New Roman" w:cs="David" w:hint="cs"/>
          <w:color w:val="000000"/>
          <w:sz w:val="24"/>
          <w:szCs w:val="24"/>
          <w:rtl/>
        </w:rPr>
        <w:t xml:space="preserve"> מביצוע שידורים וממתן שירותים על פי סעיף 100 לחוק הרשות השנייה</w:t>
      </w:r>
      <w:r w:rsidRPr="00F0108C">
        <w:rPr>
          <w:rFonts w:ascii="Times New Roman" w:eastAsia="Times New Roman" w:hAnsi="Times New Roman" w:cs="David"/>
          <w:color w:val="000000"/>
          <w:sz w:val="24"/>
          <w:szCs w:val="24"/>
          <w:rtl/>
        </w:rPr>
        <w:t xml:space="preserve"> </w:t>
      </w:r>
      <w:r w:rsidRPr="00772692">
        <w:rPr>
          <w:rFonts w:ascii="Times New Roman" w:eastAsia="Times New Roman" w:hAnsi="Times New Roman" w:cs="David"/>
          <w:color w:val="000000"/>
          <w:sz w:val="24"/>
          <w:szCs w:val="24"/>
          <w:u w:val="single"/>
          <w:rtl/>
        </w:rPr>
        <w:t>אינן עולות על 80 מיליון ש"ח</w:t>
      </w:r>
      <w:r w:rsidRPr="00F0108C">
        <w:rPr>
          <w:rFonts w:ascii="Times New Roman" w:eastAsia="Times New Roman" w:hAnsi="Times New Roman" w:cs="David"/>
          <w:color w:val="000000"/>
          <w:sz w:val="24"/>
          <w:szCs w:val="24"/>
          <w:rtl/>
        </w:rPr>
        <w:t>.</w:t>
      </w:r>
      <w:r w:rsidRPr="00F0108C">
        <w:rPr>
          <w:rFonts w:ascii="Times New Roman" w:eastAsia="Times New Roman" w:hAnsi="Times New Roman" w:cs="David"/>
          <w:color w:val="000000"/>
          <w:sz w:val="24"/>
          <w:szCs w:val="24"/>
          <w:vertAlign w:val="superscript"/>
          <w:rtl/>
        </w:rPr>
        <w:footnoteReference w:id="1"/>
      </w:r>
      <w:r w:rsidRPr="00F0108C">
        <w:rPr>
          <w:rFonts w:ascii="Times New Roman" w:eastAsia="Times New Roman" w:hAnsi="Times New Roman" w:cs="David"/>
          <w:color w:val="000000"/>
          <w:sz w:val="24"/>
          <w:szCs w:val="24"/>
          <w:rtl/>
        </w:rPr>
        <w:t xml:space="preserve"> </w:t>
      </w:r>
      <w:r w:rsidR="00915718" w:rsidRPr="00E00E45">
        <w:rPr>
          <w:rFonts w:ascii="Times New Roman" w:eastAsia="Times New Roman" w:hAnsi="Times New Roman" w:cs="David" w:hint="cs"/>
          <w:color w:val="000000"/>
          <w:sz w:val="24"/>
          <w:szCs w:val="24"/>
          <w:rtl/>
        </w:rPr>
        <w:t>ההבחנה בין ערוצים זעירים לערוצים אחרים</w:t>
      </w:r>
      <w:r w:rsidRPr="00E00E45">
        <w:rPr>
          <w:rFonts w:ascii="Times New Roman" w:eastAsia="Times New Roman" w:hAnsi="Times New Roman" w:cs="David"/>
          <w:color w:val="000000"/>
          <w:sz w:val="24"/>
          <w:szCs w:val="24"/>
          <w:rtl/>
        </w:rPr>
        <w:t xml:space="preserve"> נועד</w:t>
      </w:r>
      <w:r w:rsidR="00915718" w:rsidRPr="00E00E45">
        <w:rPr>
          <w:rFonts w:ascii="Times New Roman" w:eastAsia="Times New Roman" w:hAnsi="Times New Roman" w:cs="David" w:hint="cs"/>
          <w:color w:val="000000"/>
          <w:sz w:val="24"/>
          <w:szCs w:val="24"/>
          <w:rtl/>
        </w:rPr>
        <w:t>ה</w:t>
      </w:r>
      <w:r w:rsidRPr="00E00E45">
        <w:rPr>
          <w:rFonts w:ascii="Times New Roman" w:eastAsia="Times New Roman" w:hAnsi="Times New Roman" w:cs="David"/>
          <w:color w:val="000000"/>
          <w:sz w:val="24"/>
          <w:szCs w:val="24"/>
          <w:rtl/>
        </w:rPr>
        <w:t xml:space="preserve"> להקל על </w:t>
      </w:r>
      <w:r w:rsidR="00915718" w:rsidRPr="00E00E45">
        <w:rPr>
          <w:rFonts w:ascii="Times New Roman" w:eastAsia="Times New Roman" w:hAnsi="Times New Roman" w:cs="David" w:hint="cs"/>
          <w:color w:val="000000"/>
          <w:sz w:val="24"/>
          <w:szCs w:val="24"/>
          <w:rtl/>
        </w:rPr>
        <w:t xml:space="preserve">אותם </w:t>
      </w:r>
      <w:r w:rsidRPr="00E00E45">
        <w:rPr>
          <w:rFonts w:ascii="Times New Roman" w:eastAsia="Times New Roman" w:hAnsi="Times New Roman" w:cs="David"/>
          <w:color w:val="000000"/>
          <w:sz w:val="24"/>
          <w:szCs w:val="24"/>
          <w:rtl/>
        </w:rPr>
        <w:t xml:space="preserve">ערוצים קטנים ובעלי היקף פעילות מצומצם, באמצעות הפחתת הנטל הרגולטורי והכלכלי המוטל עליהם, וזאת מתוך תכלית </w:t>
      </w:r>
      <w:r w:rsidRPr="00E00E45">
        <w:rPr>
          <w:rFonts w:ascii="Times New Roman" w:eastAsia="Times New Roman" w:hAnsi="Times New Roman" w:cs="David" w:hint="cs"/>
          <w:color w:val="000000"/>
          <w:sz w:val="24"/>
          <w:szCs w:val="24"/>
          <w:rtl/>
        </w:rPr>
        <w:t>ל</w:t>
      </w:r>
      <w:r w:rsidRPr="00E00E45">
        <w:rPr>
          <w:rFonts w:ascii="Times New Roman" w:eastAsia="Times New Roman" w:hAnsi="Times New Roman" w:cs="David"/>
          <w:color w:val="000000"/>
          <w:sz w:val="24"/>
          <w:szCs w:val="24"/>
          <w:rtl/>
        </w:rPr>
        <w:t>עידוד התחרות והגיוון בשוק השידורים</w:t>
      </w:r>
      <w:r w:rsidRPr="00E00E45">
        <w:rPr>
          <w:rFonts w:ascii="Times New Roman" w:eastAsia="Times New Roman" w:hAnsi="Times New Roman" w:cs="David"/>
          <w:color w:val="000000"/>
          <w:sz w:val="24"/>
          <w:szCs w:val="24"/>
        </w:rPr>
        <w:t>.</w:t>
      </w:r>
      <w:r w:rsidR="00FC2DA3" w:rsidRPr="00E00E45">
        <w:rPr>
          <w:rFonts w:ascii="Times New Roman" w:eastAsia="Times New Roman" w:hAnsi="Times New Roman" w:cs="David" w:hint="cs"/>
          <w:color w:val="000000"/>
          <w:sz w:val="24"/>
          <w:szCs w:val="24"/>
          <w:rtl/>
        </w:rPr>
        <w:t xml:space="preserve"> </w:t>
      </w:r>
    </w:p>
    <w:p w14:paraId="3C8955F9" w14:textId="46E7974A" w:rsidR="00D63B28" w:rsidRPr="00E00E45" w:rsidRDefault="00D63B28" w:rsidP="00351437">
      <w:pPr>
        <w:numPr>
          <w:ilvl w:val="0"/>
          <w:numId w:val="1"/>
        </w:numPr>
        <w:spacing w:before="120" w:after="0" w:line="360" w:lineRule="auto"/>
        <w:ind w:left="-454" w:right="-454"/>
        <w:jc w:val="both"/>
        <w:rPr>
          <w:rFonts w:ascii="Times New Roman" w:eastAsia="Times New Roman" w:hAnsi="Times New Roman" w:cs="David"/>
          <w:color w:val="000000"/>
          <w:sz w:val="24"/>
          <w:szCs w:val="24"/>
        </w:rPr>
      </w:pPr>
      <w:r w:rsidRPr="00E00E45">
        <w:rPr>
          <w:rFonts w:ascii="Times New Roman" w:eastAsia="Times New Roman" w:hAnsi="Times New Roman" w:cs="David"/>
          <w:color w:val="000000"/>
          <w:sz w:val="24"/>
          <w:szCs w:val="24"/>
          <w:rtl/>
        </w:rPr>
        <w:t xml:space="preserve">בהתאם לכך, </w:t>
      </w:r>
      <w:r w:rsidRPr="00E00E45">
        <w:rPr>
          <w:rFonts w:ascii="Times New Roman" w:eastAsia="Times New Roman" w:hAnsi="Times New Roman" w:cs="David" w:hint="cs"/>
          <w:color w:val="000000"/>
          <w:sz w:val="24"/>
          <w:szCs w:val="24"/>
          <w:rtl/>
        </w:rPr>
        <w:t>המחוקק בחר להעניק</w:t>
      </w:r>
      <w:r w:rsidRPr="00E00E45">
        <w:rPr>
          <w:rFonts w:ascii="Times New Roman" w:eastAsia="Times New Roman" w:hAnsi="Times New Roman" w:cs="David"/>
          <w:color w:val="000000"/>
          <w:sz w:val="24"/>
          <w:szCs w:val="24"/>
          <w:rtl/>
        </w:rPr>
        <w:t xml:space="preserve"> לערוצים זעירים שורה של הקלות משמעותיות, ובהן</w:t>
      </w:r>
      <w:r w:rsidRPr="00E00E45">
        <w:rPr>
          <w:rFonts w:ascii="Times New Roman" w:eastAsia="Times New Roman" w:hAnsi="Times New Roman" w:cs="David" w:hint="cs"/>
          <w:color w:val="000000"/>
          <w:sz w:val="24"/>
          <w:szCs w:val="24"/>
          <w:rtl/>
        </w:rPr>
        <w:t>,</w:t>
      </w:r>
      <w:r w:rsidRPr="00E00E45">
        <w:rPr>
          <w:rFonts w:ascii="Times New Roman" w:eastAsia="Times New Roman" w:hAnsi="Times New Roman" w:cs="David"/>
          <w:color w:val="000000"/>
          <w:sz w:val="24"/>
          <w:szCs w:val="24"/>
          <w:rtl/>
        </w:rPr>
        <w:t xml:space="preserve"> בין היתר</w:t>
      </w:r>
      <w:r w:rsidRPr="00E00E45">
        <w:rPr>
          <w:rFonts w:ascii="Times New Roman" w:eastAsia="Times New Roman" w:hAnsi="Times New Roman" w:cs="David" w:hint="cs"/>
          <w:color w:val="000000"/>
          <w:sz w:val="24"/>
          <w:szCs w:val="24"/>
          <w:rtl/>
        </w:rPr>
        <w:t>,</w:t>
      </w:r>
      <w:r w:rsidRPr="00E00E45">
        <w:rPr>
          <w:rFonts w:ascii="Times New Roman" w:eastAsia="Times New Roman" w:hAnsi="Times New Roman" w:cs="David"/>
          <w:color w:val="000000"/>
          <w:sz w:val="24"/>
          <w:szCs w:val="24"/>
          <w:rtl/>
        </w:rPr>
        <w:t xml:space="preserve"> פטור מתשלום דמי רישיון שנתיים, אפשרות לשידור חדשות ללא הקמת חברת חדשות עצמאית, פטור מתשלום דמי הפצה במסגרת מערך "עידן פלוס",</w:t>
      </w:r>
      <w:r w:rsidR="00A33A5A" w:rsidRPr="00E00E45">
        <w:rPr>
          <w:rFonts w:ascii="Times New Roman" w:eastAsia="Times New Roman" w:hAnsi="Times New Roman" w:cs="David" w:hint="cs"/>
          <w:color w:val="000000"/>
          <w:sz w:val="24"/>
          <w:szCs w:val="24"/>
          <w:rtl/>
        </w:rPr>
        <w:t xml:space="preserve"> הקלות בחובת השקעה בהפקות מקור, </w:t>
      </w:r>
      <w:r w:rsidRPr="00E00E45">
        <w:rPr>
          <w:rFonts w:ascii="Times New Roman" w:eastAsia="Times New Roman" w:hAnsi="Times New Roman" w:cs="David"/>
          <w:color w:val="000000"/>
          <w:sz w:val="24"/>
          <w:szCs w:val="24"/>
          <w:rtl/>
        </w:rPr>
        <w:t>והקלות רגולטוריות נוספות.</w:t>
      </w:r>
      <w:r w:rsidRPr="00F0108C">
        <w:rPr>
          <w:rFonts w:ascii="Times New Roman" w:eastAsia="Times New Roman" w:hAnsi="Times New Roman" w:cs="David"/>
          <w:color w:val="000000"/>
          <w:sz w:val="24"/>
          <w:szCs w:val="24"/>
          <w:vertAlign w:val="superscript"/>
          <w:rtl/>
        </w:rPr>
        <w:footnoteReference w:id="2"/>
      </w:r>
      <w:r w:rsidRPr="00E00E45">
        <w:rPr>
          <w:rFonts w:ascii="Times New Roman" w:eastAsia="Times New Roman" w:hAnsi="Times New Roman" w:cs="David"/>
          <w:color w:val="000000"/>
          <w:sz w:val="24"/>
          <w:szCs w:val="24"/>
          <w:rtl/>
        </w:rPr>
        <w:t xml:space="preserve"> </w:t>
      </w:r>
      <w:r w:rsidRPr="00E00E45">
        <w:rPr>
          <w:rFonts w:ascii="Times New Roman" w:eastAsia="Times New Roman" w:hAnsi="Times New Roman" w:cs="David"/>
          <w:b/>
          <w:bCs/>
          <w:color w:val="000000"/>
          <w:sz w:val="24"/>
          <w:szCs w:val="24"/>
          <w:rtl/>
        </w:rPr>
        <w:t>להקלות אלו משמעויות כלכליות ניכרות, ואף קיימות הערכות</w:t>
      </w:r>
      <w:r w:rsidRPr="00E00E45">
        <w:rPr>
          <w:rFonts w:ascii="Times New Roman" w:eastAsia="Times New Roman" w:hAnsi="Times New Roman" w:cs="David" w:hint="cs"/>
          <w:b/>
          <w:bCs/>
          <w:color w:val="000000"/>
          <w:sz w:val="24"/>
          <w:szCs w:val="24"/>
          <w:rtl/>
        </w:rPr>
        <w:t xml:space="preserve"> </w:t>
      </w:r>
      <w:r w:rsidRPr="00E00E45">
        <w:rPr>
          <w:rFonts w:ascii="Times New Roman" w:eastAsia="Times New Roman" w:hAnsi="Times New Roman" w:cs="David"/>
          <w:b/>
          <w:bCs/>
          <w:color w:val="000000"/>
          <w:sz w:val="24"/>
          <w:szCs w:val="24"/>
          <w:rtl/>
        </w:rPr>
        <w:t>כי היקפן עשוי</w:t>
      </w:r>
      <w:r w:rsidRPr="00E00E45">
        <w:rPr>
          <w:rFonts w:ascii="Times New Roman" w:eastAsia="Times New Roman" w:hAnsi="Times New Roman" w:cs="David" w:hint="cs"/>
          <w:b/>
          <w:bCs/>
          <w:color w:val="000000"/>
          <w:sz w:val="24"/>
          <w:szCs w:val="24"/>
          <w:rtl/>
        </w:rPr>
        <w:t xml:space="preserve"> </w:t>
      </w:r>
      <w:r w:rsidRPr="00E00E45">
        <w:rPr>
          <w:rFonts w:ascii="Times New Roman" w:eastAsia="Times New Roman" w:hAnsi="Times New Roman" w:cs="David"/>
          <w:b/>
          <w:bCs/>
          <w:color w:val="000000"/>
          <w:sz w:val="24"/>
          <w:szCs w:val="24"/>
          <w:rtl/>
        </w:rPr>
        <w:t>להגיע למיליוני ואף עשרות מיליוני שקלים</w:t>
      </w:r>
      <w:r w:rsidR="006815E5" w:rsidRPr="00E00E45">
        <w:rPr>
          <w:rFonts w:ascii="Times New Roman" w:eastAsia="Times New Roman" w:hAnsi="Times New Roman" w:cs="David" w:hint="cs"/>
          <w:b/>
          <w:bCs/>
          <w:color w:val="000000"/>
          <w:sz w:val="24"/>
          <w:szCs w:val="24"/>
          <w:rtl/>
        </w:rPr>
        <w:t xml:space="preserve"> מידי שנה</w:t>
      </w:r>
      <w:r w:rsidRPr="00E00E45">
        <w:rPr>
          <w:rFonts w:ascii="Times New Roman" w:eastAsia="Times New Roman" w:hAnsi="Times New Roman" w:cs="David"/>
          <w:color w:val="000000"/>
          <w:sz w:val="24"/>
          <w:szCs w:val="24"/>
          <w:rtl/>
        </w:rPr>
        <w:t>.</w:t>
      </w:r>
      <w:r w:rsidRPr="00F0108C">
        <w:rPr>
          <w:rFonts w:ascii="Times New Roman" w:eastAsia="Times New Roman" w:hAnsi="Times New Roman" w:cs="David"/>
          <w:color w:val="000000"/>
          <w:sz w:val="24"/>
          <w:szCs w:val="24"/>
          <w:vertAlign w:val="superscript"/>
          <w:rtl/>
        </w:rPr>
        <w:footnoteReference w:id="3"/>
      </w:r>
      <w:r w:rsidRPr="00E00E45">
        <w:rPr>
          <w:rFonts w:ascii="Times New Roman" w:eastAsia="Times New Roman" w:hAnsi="Times New Roman" w:cs="David"/>
          <w:color w:val="000000"/>
          <w:sz w:val="24"/>
          <w:szCs w:val="24"/>
          <w:rtl/>
        </w:rPr>
        <w:t xml:space="preserve"> משכך, קיימת חשיבות </w:t>
      </w:r>
      <w:r w:rsidR="005306C8" w:rsidRPr="00E00E45">
        <w:rPr>
          <w:rFonts w:ascii="Times New Roman" w:eastAsia="Times New Roman" w:hAnsi="Times New Roman" w:cs="David" w:hint="cs"/>
          <w:color w:val="000000"/>
          <w:sz w:val="24"/>
          <w:szCs w:val="24"/>
          <w:rtl/>
        </w:rPr>
        <w:t xml:space="preserve">לדאוג כי הערוצים </w:t>
      </w:r>
      <w:proofErr w:type="spellStart"/>
      <w:r w:rsidR="005306C8" w:rsidRPr="00E00E45">
        <w:rPr>
          <w:rFonts w:ascii="Times New Roman" w:eastAsia="Times New Roman" w:hAnsi="Times New Roman" w:cs="David" w:hint="cs"/>
          <w:color w:val="000000"/>
          <w:sz w:val="24"/>
          <w:szCs w:val="24"/>
          <w:rtl/>
        </w:rPr>
        <w:t>שיהנו</w:t>
      </w:r>
      <w:proofErr w:type="spellEnd"/>
      <w:r w:rsidR="005306C8" w:rsidRPr="00E00E45">
        <w:rPr>
          <w:rFonts w:ascii="Times New Roman" w:eastAsia="Times New Roman" w:hAnsi="Times New Roman" w:cs="David" w:hint="cs"/>
          <w:color w:val="000000"/>
          <w:sz w:val="24"/>
          <w:szCs w:val="24"/>
          <w:rtl/>
        </w:rPr>
        <w:t xml:space="preserve"> מהקלות משמעותיות אלו יהיו ערוצים זעירים בלבד</w:t>
      </w:r>
      <w:r w:rsidR="009D26F1" w:rsidRPr="00E00E45">
        <w:rPr>
          <w:rFonts w:ascii="Times New Roman" w:eastAsia="Times New Roman" w:hAnsi="Times New Roman" w:cs="David" w:hint="cs"/>
          <w:color w:val="000000"/>
          <w:sz w:val="24"/>
          <w:szCs w:val="24"/>
          <w:rtl/>
        </w:rPr>
        <w:t xml:space="preserve"> אשר </w:t>
      </w:r>
      <w:r w:rsidR="00236D12" w:rsidRPr="00E00E45">
        <w:rPr>
          <w:rFonts w:ascii="Times New Roman" w:eastAsia="Times New Roman" w:hAnsi="Times New Roman" w:cs="David" w:hint="cs"/>
          <w:color w:val="000000"/>
          <w:sz w:val="24"/>
          <w:szCs w:val="24"/>
          <w:rtl/>
        </w:rPr>
        <w:t>זקוקים להן,</w:t>
      </w:r>
      <w:r w:rsidR="005306C8" w:rsidRPr="00E00E45">
        <w:rPr>
          <w:rFonts w:ascii="Times New Roman" w:eastAsia="Times New Roman" w:hAnsi="Times New Roman" w:cs="David" w:hint="cs"/>
          <w:color w:val="000000"/>
          <w:sz w:val="24"/>
          <w:szCs w:val="24"/>
          <w:rtl/>
        </w:rPr>
        <w:t xml:space="preserve"> בהתאם לרף ההכנסות שקבע החוק</w:t>
      </w:r>
      <w:r w:rsidRPr="00E00E45">
        <w:rPr>
          <w:rFonts w:ascii="Times New Roman" w:eastAsia="Times New Roman" w:hAnsi="Times New Roman" w:cs="David"/>
          <w:color w:val="000000"/>
          <w:sz w:val="24"/>
          <w:szCs w:val="24"/>
        </w:rPr>
        <w:t>.</w:t>
      </w:r>
    </w:p>
    <w:p w14:paraId="6751B6D6" w14:textId="7710C927" w:rsidR="00EE45EA" w:rsidRDefault="00EE45EA" w:rsidP="00351437">
      <w:pPr>
        <w:numPr>
          <w:ilvl w:val="0"/>
          <w:numId w:val="1"/>
        </w:numPr>
        <w:spacing w:before="120" w:after="0" w:line="360" w:lineRule="auto"/>
        <w:ind w:left="-454" w:right="-454"/>
        <w:jc w:val="both"/>
        <w:rPr>
          <w:rFonts w:ascii="Times New Roman" w:eastAsia="Times New Roman" w:hAnsi="Times New Roman" w:cs="David"/>
          <w:color w:val="000000"/>
          <w:sz w:val="24"/>
          <w:szCs w:val="24"/>
        </w:rPr>
      </w:pPr>
      <w:r>
        <w:rPr>
          <w:rFonts w:ascii="Times New Roman" w:eastAsia="Times New Roman" w:hAnsi="Times New Roman" w:cs="David" w:hint="cs"/>
          <w:color w:val="000000"/>
          <w:sz w:val="24"/>
          <w:szCs w:val="24"/>
          <w:rtl/>
        </w:rPr>
        <w:t xml:space="preserve">בחוק </w:t>
      </w:r>
      <w:r w:rsidRPr="00F0108C">
        <w:rPr>
          <w:rFonts w:ascii="Times New Roman" w:eastAsia="Times New Roman" w:hAnsi="Times New Roman" w:cs="David"/>
          <w:color w:val="000000"/>
          <w:sz w:val="24"/>
          <w:szCs w:val="24"/>
          <w:rtl/>
        </w:rPr>
        <w:t>הרשות השנייה</w:t>
      </w:r>
      <w:r w:rsidR="00317755">
        <w:rPr>
          <w:rFonts w:ascii="Times New Roman" w:eastAsia="Times New Roman" w:hAnsi="Times New Roman" w:cs="David" w:hint="cs"/>
          <w:color w:val="000000"/>
          <w:sz w:val="24"/>
          <w:szCs w:val="24"/>
          <w:rtl/>
        </w:rPr>
        <w:t xml:space="preserve"> נקבע </w:t>
      </w:r>
      <w:r w:rsidR="00A96143">
        <w:rPr>
          <w:rFonts w:ascii="Times New Roman" w:eastAsia="Times New Roman" w:hAnsi="Times New Roman" w:cs="David" w:hint="cs"/>
          <w:color w:val="000000"/>
          <w:sz w:val="24"/>
          <w:szCs w:val="24"/>
          <w:rtl/>
        </w:rPr>
        <w:t>על המנהל הכללי של הרשות</w:t>
      </w:r>
      <w:r w:rsidR="00265B55">
        <w:rPr>
          <w:rFonts w:ascii="Times New Roman" w:eastAsia="Times New Roman" w:hAnsi="Times New Roman" w:cs="David" w:hint="cs"/>
          <w:color w:val="000000"/>
          <w:sz w:val="24"/>
          <w:szCs w:val="24"/>
          <w:rtl/>
        </w:rPr>
        <w:t xml:space="preserve"> </w:t>
      </w:r>
      <w:proofErr w:type="spellStart"/>
      <w:r w:rsidR="00265B55">
        <w:rPr>
          <w:rFonts w:ascii="Times New Roman" w:eastAsia="Times New Roman" w:hAnsi="Times New Roman" w:cs="David" w:hint="cs"/>
          <w:color w:val="000000"/>
          <w:sz w:val="24"/>
          <w:szCs w:val="24"/>
          <w:rtl/>
        </w:rPr>
        <w:t>השניה</w:t>
      </w:r>
      <w:proofErr w:type="spellEnd"/>
      <w:r w:rsidR="00265B55">
        <w:rPr>
          <w:rFonts w:ascii="Times New Roman" w:eastAsia="Times New Roman" w:hAnsi="Times New Roman" w:cs="David" w:hint="cs"/>
          <w:color w:val="000000"/>
          <w:sz w:val="24"/>
          <w:szCs w:val="24"/>
          <w:rtl/>
        </w:rPr>
        <w:t xml:space="preserve"> </w:t>
      </w:r>
      <w:proofErr w:type="spellStart"/>
      <w:r w:rsidR="00265B55">
        <w:rPr>
          <w:rFonts w:ascii="Times New Roman" w:eastAsia="Times New Roman" w:hAnsi="Times New Roman" w:cs="David" w:hint="cs"/>
          <w:color w:val="000000"/>
          <w:sz w:val="24"/>
          <w:szCs w:val="24"/>
          <w:rtl/>
        </w:rPr>
        <w:t>לטלויזיה</w:t>
      </w:r>
      <w:proofErr w:type="spellEnd"/>
      <w:r w:rsidR="00265B55">
        <w:rPr>
          <w:rFonts w:ascii="Times New Roman" w:eastAsia="Times New Roman" w:hAnsi="Times New Roman" w:cs="David" w:hint="cs"/>
          <w:color w:val="000000"/>
          <w:sz w:val="24"/>
          <w:szCs w:val="24"/>
          <w:rtl/>
        </w:rPr>
        <w:t xml:space="preserve"> ורדיו (להלן: "</w:t>
      </w:r>
      <w:r w:rsidR="00265B55" w:rsidRPr="00772692">
        <w:rPr>
          <w:rFonts w:ascii="Times New Roman" w:eastAsia="Times New Roman" w:hAnsi="Times New Roman" w:cs="David" w:hint="eastAsia"/>
          <w:b/>
          <w:bCs/>
          <w:color w:val="000000"/>
          <w:sz w:val="24"/>
          <w:szCs w:val="24"/>
          <w:rtl/>
        </w:rPr>
        <w:t>הרשות</w:t>
      </w:r>
      <w:r w:rsidR="00265B55">
        <w:rPr>
          <w:rFonts w:ascii="Times New Roman" w:eastAsia="Times New Roman" w:hAnsi="Times New Roman" w:cs="David" w:hint="cs"/>
          <w:color w:val="000000"/>
          <w:sz w:val="24"/>
          <w:szCs w:val="24"/>
          <w:rtl/>
        </w:rPr>
        <w:t>")</w:t>
      </w:r>
      <w:r w:rsidR="00A96143">
        <w:rPr>
          <w:rFonts w:ascii="Times New Roman" w:eastAsia="Times New Roman" w:hAnsi="Times New Roman" w:cs="David" w:hint="cs"/>
          <w:color w:val="000000"/>
          <w:sz w:val="24"/>
          <w:szCs w:val="24"/>
          <w:rtl/>
        </w:rPr>
        <w:t xml:space="preserve"> </w:t>
      </w:r>
      <w:r w:rsidRPr="00F0108C">
        <w:rPr>
          <w:rFonts w:ascii="Times New Roman" w:eastAsia="Times New Roman" w:hAnsi="Times New Roman" w:cs="David"/>
          <w:b/>
          <w:bCs/>
          <w:color w:val="000000"/>
          <w:sz w:val="24"/>
          <w:szCs w:val="24"/>
          <w:rtl/>
        </w:rPr>
        <w:t xml:space="preserve">לפרסם את רשימת הערוצים הזעירים עד ליום 1 ביוני בכל שנה </w:t>
      </w:r>
      <w:r w:rsidRPr="00772692">
        <w:rPr>
          <w:rFonts w:ascii="Times New Roman" w:eastAsia="Times New Roman" w:hAnsi="Times New Roman" w:cs="David"/>
          <w:b/>
          <w:bCs/>
          <w:color w:val="000000"/>
          <w:sz w:val="24"/>
          <w:szCs w:val="24"/>
          <w:u w:val="single"/>
          <w:rtl/>
        </w:rPr>
        <w:t xml:space="preserve">באתר האינטרנט </w:t>
      </w:r>
      <w:r w:rsidRPr="00772692">
        <w:rPr>
          <w:rFonts w:ascii="Times New Roman" w:eastAsia="Times New Roman" w:hAnsi="Times New Roman" w:cs="David" w:hint="eastAsia"/>
          <w:b/>
          <w:bCs/>
          <w:color w:val="000000"/>
          <w:sz w:val="24"/>
          <w:szCs w:val="24"/>
          <w:u w:val="single"/>
          <w:rtl/>
        </w:rPr>
        <w:t>של</w:t>
      </w:r>
      <w:r w:rsidRPr="00772692">
        <w:rPr>
          <w:rFonts w:ascii="Times New Roman" w:eastAsia="Times New Roman" w:hAnsi="Times New Roman" w:cs="David"/>
          <w:b/>
          <w:bCs/>
          <w:color w:val="000000"/>
          <w:sz w:val="24"/>
          <w:szCs w:val="24"/>
          <w:u w:val="single"/>
          <w:rtl/>
        </w:rPr>
        <w:t xml:space="preserve"> הרשות</w:t>
      </w:r>
      <w:r>
        <w:rPr>
          <w:rFonts w:ascii="Times New Roman" w:eastAsia="Times New Roman" w:hAnsi="Times New Roman" w:cs="David" w:hint="cs"/>
          <w:color w:val="000000"/>
          <w:sz w:val="24"/>
          <w:szCs w:val="24"/>
          <w:rtl/>
        </w:rPr>
        <w:t>.</w:t>
      </w:r>
      <w:r w:rsidRPr="00F0108C">
        <w:rPr>
          <w:rFonts w:ascii="Times New Roman" w:eastAsia="Times New Roman" w:hAnsi="Times New Roman" w:cs="David"/>
          <w:color w:val="000000"/>
          <w:sz w:val="24"/>
          <w:szCs w:val="24"/>
          <w:vertAlign w:val="superscript"/>
        </w:rPr>
        <w:footnoteReference w:id="4"/>
      </w:r>
      <w:r w:rsidR="00CE3009">
        <w:rPr>
          <w:rFonts w:ascii="Times New Roman" w:eastAsia="Times New Roman" w:hAnsi="Times New Roman" w:cs="David" w:hint="cs"/>
          <w:color w:val="000000"/>
          <w:sz w:val="24"/>
          <w:szCs w:val="24"/>
          <w:rtl/>
        </w:rPr>
        <w:t xml:space="preserve"> </w:t>
      </w:r>
      <w:r w:rsidR="006E6D63">
        <w:rPr>
          <w:rFonts w:ascii="Times New Roman" w:eastAsia="Times New Roman" w:hAnsi="Times New Roman" w:cs="David" w:hint="cs"/>
          <w:color w:val="000000"/>
          <w:sz w:val="24"/>
          <w:szCs w:val="24"/>
          <w:rtl/>
        </w:rPr>
        <w:t xml:space="preserve">כדי לעמוד בחובה זו, עוד קובע </w:t>
      </w:r>
      <w:r w:rsidR="006E6D63">
        <w:rPr>
          <w:rFonts w:ascii="Times New Roman" w:eastAsia="Times New Roman" w:hAnsi="Times New Roman" w:cs="David" w:hint="cs"/>
          <w:color w:val="000000"/>
          <w:sz w:val="24"/>
          <w:szCs w:val="24"/>
          <w:rtl/>
        </w:rPr>
        <w:lastRenderedPageBreak/>
        <w:t xml:space="preserve">החוק כי על בעלי רישיונות לשידוריו טלוויזיה למסור מידי שנה את </w:t>
      </w:r>
      <w:r w:rsidR="00866353">
        <w:rPr>
          <w:rFonts w:ascii="Times New Roman" w:eastAsia="Times New Roman" w:hAnsi="Times New Roman" w:cs="David" w:hint="cs"/>
          <w:color w:val="000000"/>
          <w:sz w:val="24"/>
          <w:szCs w:val="24"/>
          <w:rtl/>
        </w:rPr>
        <w:t>כל המידע הנדרש לבחינת הכנסותיהם, וזאת עד ליום 31 למרץ.</w:t>
      </w:r>
      <w:r w:rsidR="00866353">
        <w:rPr>
          <w:rStyle w:val="ad"/>
          <w:rFonts w:ascii="Times New Roman" w:eastAsia="Times New Roman" w:hAnsi="Times New Roman" w:cs="David"/>
          <w:color w:val="000000"/>
          <w:sz w:val="24"/>
          <w:szCs w:val="24"/>
          <w:rtl/>
        </w:rPr>
        <w:footnoteReference w:id="5"/>
      </w:r>
    </w:p>
    <w:p w14:paraId="579B56C3" w14:textId="15561A8D" w:rsidR="001B5846" w:rsidRDefault="001B5846" w:rsidP="00351437">
      <w:pPr>
        <w:numPr>
          <w:ilvl w:val="0"/>
          <w:numId w:val="1"/>
        </w:numPr>
        <w:spacing w:before="120" w:after="0" w:line="360" w:lineRule="auto"/>
        <w:ind w:left="-454" w:right="-454"/>
        <w:jc w:val="both"/>
        <w:rPr>
          <w:rFonts w:ascii="David" w:eastAsia="Times New Roman" w:hAnsi="David" w:cs="David"/>
          <w:color w:val="000000"/>
          <w:sz w:val="28"/>
          <w:szCs w:val="28"/>
        </w:rPr>
      </w:pPr>
      <w:r>
        <w:rPr>
          <w:rFonts w:ascii="David" w:hAnsi="David" w:cs="David" w:hint="cs"/>
          <w:color w:val="000000"/>
          <w:sz w:val="24"/>
          <w:szCs w:val="24"/>
          <w:rtl/>
        </w:rPr>
        <w:t>דא עקא, חרף קיומה של הורא</w:t>
      </w:r>
      <w:r w:rsidR="00272A97">
        <w:rPr>
          <w:rFonts w:ascii="David" w:hAnsi="David" w:cs="David" w:hint="cs"/>
          <w:color w:val="000000"/>
          <w:sz w:val="24"/>
          <w:szCs w:val="24"/>
          <w:rtl/>
        </w:rPr>
        <w:t>ת חוק</w:t>
      </w:r>
      <w:r>
        <w:rPr>
          <w:rFonts w:ascii="David" w:hAnsi="David" w:cs="David" w:hint="cs"/>
          <w:color w:val="000000"/>
          <w:sz w:val="24"/>
          <w:szCs w:val="24"/>
          <w:rtl/>
        </w:rPr>
        <w:t xml:space="preserve"> מפורשת</w:t>
      </w:r>
      <w:r w:rsidR="00111545">
        <w:rPr>
          <w:rFonts w:ascii="David" w:hAnsi="David" w:cs="David" w:hint="cs"/>
          <w:color w:val="000000"/>
          <w:sz w:val="24"/>
          <w:szCs w:val="24"/>
          <w:rtl/>
        </w:rPr>
        <w:t xml:space="preserve">, </w:t>
      </w:r>
      <w:r w:rsidRPr="00B7263D">
        <w:rPr>
          <w:rFonts w:ascii="David" w:hAnsi="David" w:cs="David"/>
          <w:color w:val="000000"/>
          <w:sz w:val="24"/>
          <w:szCs w:val="24"/>
          <w:rtl/>
        </w:rPr>
        <w:t>מבדיקה שנערכה באתר האינטרנט של הרשות השנייה עולה כי הפרסום הרשמי האחרון של רשימת הערוצים הזעירים נעשה ביום 15.5.2024, בהתבסס על הדוחות הכספיים לשנת 2023.</w:t>
      </w:r>
      <w:r w:rsidRPr="00B7263D">
        <w:rPr>
          <w:rFonts w:ascii="David" w:hAnsi="David" w:cs="David"/>
          <w:sz w:val="24"/>
          <w:szCs w:val="24"/>
          <w:vertAlign w:val="superscript"/>
          <w:rtl/>
        </w:rPr>
        <w:footnoteReference w:id="6"/>
      </w:r>
      <w:r w:rsidRPr="00B7263D">
        <w:rPr>
          <w:rFonts w:ascii="David" w:hAnsi="David" w:cs="David"/>
          <w:color w:val="000000"/>
          <w:sz w:val="24"/>
          <w:szCs w:val="24"/>
          <w:rtl/>
        </w:rPr>
        <w:t xml:space="preserve"> </w:t>
      </w:r>
      <w:r w:rsidRPr="00B7263D">
        <w:rPr>
          <w:rFonts w:ascii="David" w:hAnsi="David" w:cs="David"/>
          <w:b/>
          <w:bCs/>
          <w:color w:val="000000"/>
          <w:sz w:val="24"/>
          <w:szCs w:val="24"/>
          <w:rtl/>
        </w:rPr>
        <w:t xml:space="preserve">נכון למועד </w:t>
      </w:r>
      <w:r w:rsidR="00577286">
        <w:rPr>
          <w:rFonts w:ascii="David" w:hAnsi="David" w:cs="David" w:hint="cs"/>
          <w:b/>
          <w:bCs/>
          <w:color w:val="000000"/>
          <w:sz w:val="24"/>
          <w:szCs w:val="24"/>
          <w:rtl/>
        </w:rPr>
        <w:t>כתיבת שורות אלו</w:t>
      </w:r>
      <w:r w:rsidRPr="00B7263D">
        <w:rPr>
          <w:rFonts w:ascii="David" w:hAnsi="David" w:cs="David"/>
          <w:b/>
          <w:bCs/>
          <w:color w:val="000000"/>
          <w:sz w:val="24"/>
          <w:szCs w:val="24"/>
          <w:rtl/>
        </w:rPr>
        <w:t>, לא עלה בידינו לאתר פרסום המתייחס לרשימות הערוצים הזעירים לשנים 202</w:t>
      </w:r>
      <w:r w:rsidR="00772692">
        <w:rPr>
          <w:rFonts w:ascii="David" w:hAnsi="David" w:cs="David" w:hint="cs"/>
          <w:b/>
          <w:bCs/>
          <w:color w:val="000000"/>
          <w:sz w:val="24"/>
          <w:szCs w:val="24"/>
          <w:rtl/>
        </w:rPr>
        <w:t>4</w:t>
      </w:r>
      <w:r>
        <w:rPr>
          <w:rFonts w:ascii="David" w:hAnsi="David" w:cs="David" w:hint="cs"/>
          <w:b/>
          <w:bCs/>
          <w:color w:val="000000"/>
          <w:sz w:val="24"/>
          <w:szCs w:val="24"/>
          <w:rtl/>
        </w:rPr>
        <w:t xml:space="preserve"> ו-202</w:t>
      </w:r>
      <w:r w:rsidR="00772692">
        <w:rPr>
          <w:rFonts w:ascii="David" w:hAnsi="David" w:cs="David" w:hint="cs"/>
          <w:b/>
          <w:bCs/>
          <w:color w:val="000000"/>
          <w:sz w:val="24"/>
          <w:szCs w:val="24"/>
          <w:rtl/>
        </w:rPr>
        <w:t>5</w:t>
      </w:r>
      <w:r w:rsidR="00EC04C3">
        <w:rPr>
          <w:rFonts w:ascii="David" w:hAnsi="David" w:cs="David" w:hint="cs"/>
          <w:color w:val="000000"/>
          <w:sz w:val="24"/>
          <w:szCs w:val="24"/>
          <w:rtl/>
        </w:rPr>
        <w:t>.</w:t>
      </w:r>
    </w:p>
    <w:p w14:paraId="7D5C6775" w14:textId="34B82FC0" w:rsidR="001B5846" w:rsidRDefault="00177F19" w:rsidP="00351437">
      <w:pPr>
        <w:numPr>
          <w:ilvl w:val="0"/>
          <w:numId w:val="1"/>
        </w:numPr>
        <w:spacing w:before="120" w:after="0" w:line="360" w:lineRule="auto"/>
        <w:ind w:left="-454" w:right="-454"/>
        <w:jc w:val="both"/>
        <w:rPr>
          <w:rFonts w:ascii="David" w:eastAsia="Times New Roman" w:hAnsi="David" w:cs="David"/>
          <w:color w:val="000000"/>
          <w:sz w:val="28"/>
          <w:szCs w:val="28"/>
        </w:rPr>
      </w:pPr>
      <w:r>
        <w:rPr>
          <w:rFonts w:ascii="Times New Roman" w:eastAsia="Times New Roman" w:hAnsi="Times New Roman" w:cs="David" w:hint="cs"/>
          <w:color w:val="000000"/>
          <w:sz w:val="24"/>
          <w:szCs w:val="24"/>
          <w:rtl/>
        </w:rPr>
        <w:t>למותר לציין כי בהתאם למצוות המחוקק, רשימת הערוצים הזעירים צריכה להתפרסם באתר הרשות, אך</w:t>
      </w:r>
      <w:r w:rsidR="001B5846" w:rsidRPr="00B7263D">
        <w:rPr>
          <w:rFonts w:ascii="Times New Roman" w:eastAsia="Times New Roman" w:hAnsi="Times New Roman" w:cs="David"/>
          <w:color w:val="000000"/>
          <w:sz w:val="24"/>
          <w:szCs w:val="24"/>
          <w:rtl/>
        </w:rPr>
        <w:t xml:space="preserve"> </w:t>
      </w:r>
      <w:r>
        <w:rPr>
          <w:rFonts w:ascii="Times New Roman" w:eastAsia="Times New Roman" w:hAnsi="Times New Roman" w:cs="David" w:hint="cs"/>
          <w:color w:val="000000"/>
          <w:sz w:val="24"/>
          <w:szCs w:val="24"/>
          <w:rtl/>
        </w:rPr>
        <w:t>ככל</w:t>
      </w:r>
      <w:r w:rsidR="001B5846" w:rsidRPr="00B7263D">
        <w:rPr>
          <w:rFonts w:ascii="Times New Roman" w:eastAsia="Times New Roman" w:hAnsi="Times New Roman" w:cs="David"/>
          <w:color w:val="000000"/>
          <w:sz w:val="24"/>
          <w:szCs w:val="24"/>
          <w:rtl/>
        </w:rPr>
        <w:t xml:space="preserve"> שהפרסומים האמורים נעשו </w:t>
      </w:r>
      <w:r>
        <w:rPr>
          <w:rFonts w:ascii="Times New Roman" w:eastAsia="Times New Roman" w:hAnsi="Times New Roman" w:cs="David" w:hint="cs"/>
          <w:color w:val="000000"/>
          <w:sz w:val="24"/>
          <w:szCs w:val="24"/>
          <w:rtl/>
        </w:rPr>
        <w:t>באופן אחר</w:t>
      </w:r>
      <w:r w:rsidR="001B5846" w:rsidRPr="00B7263D">
        <w:rPr>
          <w:rFonts w:ascii="Times New Roman" w:eastAsia="Times New Roman" w:hAnsi="Times New Roman" w:cs="David"/>
          <w:color w:val="000000"/>
          <w:sz w:val="24"/>
          <w:szCs w:val="24"/>
          <w:rtl/>
        </w:rPr>
        <w:t>, נודה להפניה לפרסומים הרלוונטיים</w:t>
      </w:r>
      <w:r w:rsidR="004344AE">
        <w:rPr>
          <w:rFonts w:ascii="Times New Roman" w:eastAsia="Times New Roman" w:hAnsi="Times New Roman" w:cs="David" w:hint="cs"/>
          <w:color w:val="000000"/>
          <w:sz w:val="24"/>
          <w:szCs w:val="24"/>
          <w:rtl/>
        </w:rPr>
        <w:t xml:space="preserve">, וכן כי תפעלו לפרסמם באתר באופן נגיש, כמצוות החוק. </w:t>
      </w:r>
    </w:p>
    <w:p w14:paraId="1F69EC1E" w14:textId="326B4526" w:rsidR="00772692" w:rsidRDefault="001B5846" w:rsidP="00351437">
      <w:pPr>
        <w:numPr>
          <w:ilvl w:val="0"/>
          <w:numId w:val="1"/>
        </w:numPr>
        <w:spacing w:before="120" w:after="0" w:line="360" w:lineRule="auto"/>
        <w:ind w:left="-454" w:right="-454"/>
        <w:jc w:val="both"/>
        <w:rPr>
          <w:rFonts w:ascii="Times New Roman" w:eastAsia="Times New Roman" w:hAnsi="Times New Roman" w:cs="David"/>
          <w:color w:val="000000"/>
          <w:sz w:val="24"/>
          <w:szCs w:val="24"/>
        </w:rPr>
      </w:pPr>
      <w:r w:rsidRPr="00B7263D">
        <w:rPr>
          <w:rFonts w:ascii="Times New Roman" w:eastAsia="Times New Roman" w:hAnsi="Times New Roman" w:cs="David"/>
          <w:color w:val="000000"/>
          <w:sz w:val="24"/>
          <w:szCs w:val="24"/>
          <w:rtl/>
        </w:rPr>
        <w:t xml:space="preserve">ככל שרשימת הערוצים הזעירים לשנת </w:t>
      </w:r>
      <w:r w:rsidR="00973720">
        <w:rPr>
          <w:rFonts w:ascii="Times New Roman" w:eastAsia="Times New Roman" w:hAnsi="Times New Roman" w:cs="David" w:hint="cs"/>
          <w:color w:val="000000"/>
          <w:sz w:val="24"/>
          <w:szCs w:val="24"/>
          <w:rtl/>
        </w:rPr>
        <w:t>2024</w:t>
      </w:r>
      <w:r w:rsidRPr="00B7263D">
        <w:rPr>
          <w:rFonts w:ascii="Times New Roman" w:eastAsia="Times New Roman" w:hAnsi="Times New Roman" w:cs="David"/>
          <w:color w:val="000000"/>
          <w:sz w:val="24"/>
          <w:szCs w:val="24"/>
          <w:rtl/>
        </w:rPr>
        <w:t xml:space="preserve">, רשימת הערוצים הזעירים לשנת </w:t>
      </w:r>
      <w:r w:rsidR="00973720">
        <w:rPr>
          <w:rFonts w:ascii="Times New Roman" w:eastAsia="Times New Roman" w:hAnsi="Times New Roman" w:cs="David" w:hint="cs"/>
          <w:color w:val="000000"/>
          <w:sz w:val="24"/>
          <w:szCs w:val="24"/>
          <w:rtl/>
        </w:rPr>
        <w:t>2025</w:t>
      </w:r>
      <w:r w:rsidRPr="00B7263D">
        <w:rPr>
          <w:rFonts w:ascii="Times New Roman" w:eastAsia="Times New Roman" w:hAnsi="Times New Roman" w:cs="David"/>
          <w:color w:val="000000"/>
          <w:sz w:val="24"/>
          <w:szCs w:val="24"/>
          <w:rtl/>
        </w:rPr>
        <w:t xml:space="preserve">, או שתיהן, </w:t>
      </w:r>
      <w:r w:rsidRPr="00772692">
        <w:rPr>
          <w:rFonts w:ascii="Times New Roman" w:eastAsia="Times New Roman" w:hAnsi="Times New Roman" w:cs="David"/>
          <w:color w:val="000000"/>
          <w:sz w:val="24"/>
          <w:szCs w:val="24"/>
          <w:rtl/>
        </w:rPr>
        <w:t xml:space="preserve">טרם פורסמו, </w:t>
      </w:r>
      <w:r w:rsidRPr="00721CD9">
        <w:rPr>
          <w:rFonts w:ascii="Times New Roman" w:eastAsia="Times New Roman" w:hAnsi="Times New Roman" w:cs="David"/>
          <w:b/>
          <w:bCs/>
          <w:color w:val="000000"/>
          <w:sz w:val="24"/>
          <w:szCs w:val="24"/>
          <w:rtl/>
        </w:rPr>
        <w:t>נבקש לקבל הבהרה באשר לטעמים לכך, וכן האם ומתי בכוונת הרשות להשלים את הפרסום.</w:t>
      </w:r>
      <w:r w:rsidR="006929DE" w:rsidRPr="00721CD9">
        <w:rPr>
          <w:rFonts w:ascii="Times New Roman" w:eastAsia="Times New Roman" w:hAnsi="Times New Roman" w:cs="David" w:hint="cs"/>
          <w:b/>
          <w:bCs/>
          <w:color w:val="000000"/>
          <w:sz w:val="24"/>
          <w:szCs w:val="24"/>
          <w:rtl/>
        </w:rPr>
        <w:t xml:space="preserve"> כמו כן, ככל שהרשימות טרם פורסמו כי מי מבין בעלי הרישיונות לא קיים את החובה להעביר נתונים בהתאם להוראת סעיף </w:t>
      </w:r>
      <w:r w:rsidR="00721CD9" w:rsidRPr="00721CD9">
        <w:rPr>
          <w:rFonts w:ascii="Times New Roman" w:eastAsia="Times New Roman" w:hAnsi="Times New Roman" w:cs="David" w:hint="cs"/>
          <w:b/>
          <w:bCs/>
          <w:color w:val="000000"/>
          <w:sz w:val="24"/>
          <w:szCs w:val="24"/>
          <w:rtl/>
        </w:rPr>
        <w:t>71ז(א) הרשות</w:t>
      </w:r>
      <w:r w:rsidR="00721CD9" w:rsidRPr="00772692">
        <w:rPr>
          <w:rFonts w:ascii="Times New Roman" w:eastAsia="Times New Roman" w:hAnsi="Times New Roman" w:cs="David"/>
          <w:b/>
          <w:bCs/>
          <w:color w:val="000000"/>
          <w:sz w:val="24"/>
          <w:szCs w:val="24"/>
          <w:rtl/>
        </w:rPr>
        <w:t xml:space="preserve"> מתבקשת להשיב</w:t>
      </w:r>
      <w:r w:rsidR="00721CD9" w:rsidRPr="00721CD9">
        <w:rPr>
          <w:rFonts w:ascii="Times New Roman" w:eastAsia="Times New Roman" w:hAnsi="Times New Roman" w:cs="David" w:hint="cs"/>
          <w:b/>
          <w:bCs/>
          <w:color w:val="000000"/>
          <w:sz w:val="24"/>
          <w:szCs w:val="24"/>
          <w:rtl/>
        </w:rPr>
        <w:t xml:space="preserve"> כיצד בכוונתה לפעול בנושא</w:t>
      </w:r>
      <w:r w:rsidR="00721CD9" w:rsidRPr="00772692">
        <w:rPr>
          <w:rFonts w:ascii="Times New Roman" w:eastAsia="Times New Roman" w:hAnsi="Times New Roman" w:cs="David"/>
          <w:color w:val="000000"/>
          <w:sz w:val="24"/>
          <w:szCs w:val="24"/>
          <w:rtl/>
        </w:rPr>
        <w:t>.</w:t>
      </w:r>
      <w:r w:rsidRPr="00772692">
        <w:rPr>
          <w:rFonts w:ascii="Times New Roman" w:eastAsia="Times New Roman" w:hAnsi="Times New Roman" w:cs="David"/>
          <w:color w:val="000000"/>
          <w:sz w:val="24"/>
          <w:szCs w:val="24"/>
          <w:rtl/>
        </w:rPr>
        <w:t xml:space="preserve"> נזכיר כי החובה לפרסם את הרשימות מעוגנת במפורש בהוראות החוק</w:t>
      </w:r>
      <w:r w:rsidRPr="00721CD9">
        <w:rPr>
          <w:rFonts w:ascii="Times New Roman" w:eastAsia="Times New Roman" w:hAnsi="Times New Roman" w:cs="David"/>
          <w:color w:val="000000"/>
          <w:sz w:val="24"/>
          <w:szCs w:val="24"/>
          <w:rtl/>
        </w:rPr>
        <w:t>,</w:t>
      </w:r>
      <w:r w:rsidRPr="00B7263D">
        <w:rPr>
          <w:rFonts w:ascii="Times New Roman" w:eastAsia="Times New Roman" w:hAnsi="Times New Roman" w:cs="David"/>
          <w:color w:val="000000"/>
          <w:sz w:val="24"/>
          <w:szCs w:val="24"/>
          <w:rtl/>
        </w:rPr>
        <w:t xml:space="preserve"> וכי אי</w:t>
      </w:r>
      <w:r w:rsidRPr="00B7263D">
        <w:rPr>
          <w:rFonts w:ascii="Times New Roman" w:eastAsia="Times New Roman" w:hAnsi="Times New Roman" w:cs="David" w:hint="cs"/>
          <w:color w:val="000000"/>
          <w:sz w:val="24"/>
          <w:szCs w:val="24"/>
          <w:rtl/>
        </w:rPr>
        <w:t xml:space="preserve"> </w:t>
      </w:r>
      <w:r w:rsidRPr="00B7263D">
        <w:rPr>
          <w:rFonts w:ascii="Times New Roman" w:eastAsia="Times New Roman" w:hAnsi="Times New Roman" w:cs="David"/>
          <w:color w:val="000000"/>
          <w:sz w:val="24"/>
          <w:szCs w:val="24"/>
          <w:rtl/>
        </w:rPr>
        <w:t>פרסומן במועד מעורר קושי ממשי ואינו עולה בקנה אחד עם דרישות הדין. בשים לב לחשיבות הציבורית, הרגולטורית והכלכלית של הסיווג כערוץ זעיר וההטבות הנלוות לו, נבקש כי הפרסומים יושלמו ללא דיחוי.</w:t>
      </w:r>
    </w:p>
    <w:p w14:paraId="2C43C7EB" w14:textId="61A3B346" w:rsidR="00267DA1" w:rsidRDefault="00772692" w:rsidP="00351437">
      <w:pPr>
        <w:numPr>
          <w:ilvl w:val="0"/>
          <w:numId w:val="1"/>
        </w:numPr>
        <w:spacing w:before="120" w:after="0" w:line="360" w:lineRule="auto"/>
        <w:ind w:left="-454" w:right="-454"/>
        <w:jc w:val="both"/>
        <w:rPr>
          <w:rtl/>
        </w:rPr>
      </w:pPr>
      <w:r w:rsidRPr="00772692">
        <w:rPr>
          <w:rFonts w:ascii="Times New Roman" w:eastAsia="Times New Roman" w:hAnsi="Times New Roman" w:cs="David"/>
          <w:color w:val="000000"/>
          <w:sz w:val="24"/>
          <w:szCs w:val="24"/>
          <w:rtl/>
        </w:rPr>
        <w:t xml:space="preserve">נוכח האמור לעיל, </w:t>
      </w:r>
      <w:r w:rsidRPr="00772692">
        <w:rPr>
          <w:rFonts w:ascii="Times New Roman" w:eastAsia="Times New Roman" w:hAnsi="Times New Roman" w:cs="David"/>
          <w:b/>
          <w:bCs/>
          <w:color w:val="000000"/>
          <w:sz w:val="24"/>
          <w:szCs w:val="24"/>
          <w:rtl/>
        </w:rPr>
        <w:t>ובשים לב לכך שמועד הפרסום הקבוע בדין כבר חלף</w:t>
      </w:r>
      <w:r w:rsidRPr="00772692">
        <w:rPr>
          <w:rFonts w:ascii="Times New Roman" w:eastAsia="Times New Roman" w:hAnsi="Times New Roman" w:cs="David"/>
          <w:color w:val="000000"/>
          <w:sz w:val="24"/>
          <w:szCs w:val="24"/>
          <w:rtl/>
        </w:rPr>
        <w:t>, נבקש לקבל את התייחסותכם לפנייה זו</w:t>
      </w:r>
      <w:r w:rsidRPr="00772692">
        <w:rPr>
          <w:rFonts w:ascii="Times New Roman" w:eastAsia="Times New Roman" w:hAnsi="Times New Roman" w:cs="David" w:hint="cs"/>
          <w:color w:val="000000"/>
          <w:sz w:val="24"/>
          <w:szCs w:val="24"/>
          <w:rtl/>
        </w:rPr>
        <w:t xml:space="preserve"> בהקדם האפשרי,</w:t>
      </w:r>
      <w:r w:rsidRPr="00772692">
        <w:rPr>
          <w:rFonts w:ascii="Times New Roman" w:eastAsia="Times New Roman" w:hAnsi="Times New Roman" w:cs="David"/>
          <w:color w:val="000000"/>
          <w:sz w:val="24"/>
          <w:szCs w:val="24"/>
          <w:rtl/>
        </w:rPr>
        <w:t xml:space="preserve"> </w:t>
      </w:r>
      <w:r w:rsidRPr="00772692">
        <w:rPr>
          <w:rFonts w:ascii="Times New Roman" w:eastAsia="Times New Roman" w:hAnsi="Times New Roman" w:cs="David" w:hint="eastAsia"/>
          <w:color w:val="000000"/>
          <w:sz w:val="24"/>
          <w:szCs w:val="24"/>
          <w:u w:val="single"/>
          <w:rtl/>
        </w:rPr>
        <w:t>ו</w:t>
      </w:r>
      <w:r w:rsidRPr="00772692">
        <w:rPr>
          <w:rFonts w:ascii="Times New Roman" w:eastAsia="Times New Roman" w:hAnsi="Times New Roman" w:cs="David"/>
          <w:color w:val="000000"/>
          <w:sz w:val="24"/>
          <w:szCs w:val="24"/>
          <w:u w:val="single"/>
          <w:rtl/>
        </w:rPr>
        <w:t>לא יאוחר מיום 14.6.2026</w:t>
      </w:r>
      <w:r w:rsidRPr="00772692">
        <w:rPr>
          <w:rFonts w:ascii="Times New Roman" w:eastAsia="Times New Roman" w:hAnsi="Times New Roman" w:cs="David"/>
          <w:color w:val="000000"/>
          <w:sz w:val="24"/>
          <w:szCs w:val="24"/>
          <w:rtl/>
        </w:rPr>
        <w:t xml:space="preserve">, על מנת שנוכל לבחון את המשך צעדינו </w:t>
      </w:r>
      <w:r w:rsidRPr="00772692">
        <w:rPr>
          <w:rFonts w:ascii="Times New Roman" w:eastAsia="Times New Roman" w:hAnsi="Times New Roman" w:cs="David" w:hint="cs"/>
          <w:color w:val="000000"/>
          <w:sz w:val="24"/>
          <w:szCs w:val="24"/>
          <w:rtl/>
        </w:rPr>
        <w:t xml:space="preserve">המשפטיים, לרבות </w:t>
      </w:r>
      <w:r w:rsidRPr="00772692">
        <w:rPr>
          <w:rFonts w:ascii="Times New Roman" w:eastAsia="Times New Roman" w:hAnsi="Times New Roman" w:cs="David"/>
          <w:color w:val="000000"/>
          <w:sz w:val="24"/>
          <w:szCs w:val="24"/>
          <w:rtl/>
        </w:rPr>
        <w:t>פנייה לערכאות</w:t>
      </w:r>
      <w:r w:rsidRPr="00772692">
        <w:rPr>
          <w:rFonts w:ascii="Times New Roman" w:eastAsia="Times New Roman" w:hAnsi="Times New Roman" w:cs="David" w:hint="cs"/>
          <w:color w:val="000000"/>
          <w:sz w:val="24"/>
          <w:szCs w:val="24"/>
          <w:rtl/>
        </w:rPr>
        <w:t>.</w:t>
      </w:r>
    </w:p>
    <w:p w14:paraId="7F88A567" w14:textId="7696B039" w:rsidR="009E4D65" w:rsidRDefault="009E4D65" w:rsidP="00EC6824">
      <w:pPr>
        <w:jc w:val="center"/>
        <w:rPr>
          <w:rFonts w:ascii="David" w:hAnsi="David" w:cs="David"/>
          <w:sz w:val="24"/>
          <w:szCs w:val="24"/>
          <w:rtl/>
        </w:rPr>
      </w:pPr>
      <w:r w:rsidRPr="00772692">
        <w:rPr>
          <w:rFonts w:ascii="David" w:hAnsi="David" w:cs="David" w:hint="eastAsia"/>
          <w:sz w:val="24"/>
          <w:szCs w:val="24"/>
          <w:rtl/>
        </w:rPr>
        <w:t>בברכה</w:t>
      </w:r>
      <w:r w:rsidRPr="00772692">
        <w:rPr>
          <w:rFonts w:ascii="David" w:hAnsi="David" w:cs="David"/>
          <w:sz w:val="24"/>
          <w:szCs w:val="24"/>
          <w:rtl/>
        </w:rPr>
        <w:t xml:space="preserve"> ובכבוד רב,</w:t>
      </w:r>
    </w:p>
    <w:tbl>
      <w:tblPr>
        <w:tblStyle w:val="a8"/>
        <w:tblpPr w:leftFromText="180" w:rightFromText="180" w:vertAnchor="page" w:horzAnchor="margin" w:tblpXSpec="center" w:tblpY="10246"/>
        <w:bidiVisual/>
        <w:tblW w:w="5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766"/>
        <w:gridCol w:w="2735"/>
      </w:tblGrid>
      <w:tr w:rsidR="00351437" w:rsidRPr="00351437" w14:paraId="67AE9949" w14:textId="77777777" w:rsidTr="00351437">
        <w:trPr>
          <w:trHeight w:val="421"/>
        </w:trPr>
        <w:tc>
          <w:tcPr>
            <w:tcW w:w="2766" w:type="dxa"/>
            <w:shd w:val="clear" w:color="auto" w:fill="FFFFFF"/>
          </w:tcPr>
          <w:p w14:paraId="4EBB6630" w14:textId="77777777" w:rsidR="00351437" w:rsidRPr="00351437" w:rsidRDefault="00351437" w:rsidP="00351437">
            <w:pPr>
              <w:widowControl w:val="0"/>
              <w:spacing w:after="120"/>
              <w:ind w:left="360"/>
              <w:contextualSpacing/>
              <w:jc w:val="both"/>
              <w:rPr>
                <w:rFonts w:ascii="Times New Roman" w:eastAsia="Times New Roman" w:hAnsi="Times New Roman" w:cs="David"/>
                <w:noProof/>
                <w:color w:val="000000"/>
                <w:sz w:val="24"/>
                <w:szCs w:val="24"/>
                <w:rtl/>
              </w:rPr>
            </w:pPr>
            <w:r w:rsidRPr="00351437">
              <w:rPr>
                <w:rFonts w:ascii="Times New Roman" w:eastAsia="Times New Roman" w:hAnsi="Times New Roman" w:cs="David"/>
                <w:noProof/>
                <w:color w:val="000000"/>
                <w:sz w:val="24"/>
                <w:szCs w:val="24"/>
                <w:rtl/>
              </w:rPr>
              <w:drawing>
                <wp:anchor distT="0" distB="0" distL="114300" distR="114300" simplePos="0" relativeHeight="251666432" behindDoc="1" locked="0" layoutInCell="1" allowOverlap="1" wp14:anchorId="76F013CF" wp14:editId="7334E428">
                  <wp:simplePos x="0" y="0"/>
                  <wp:positionH relativeFrom="column">
                    <wp:posOffset>240665</wp:posOffset>
                  </wp:positionH>
                  <wp:positionV relativeFrom="paragraph">
                    <wp:posOffset>50800</wp:posOffset>
                  </wp:positionV>
                  <wp:extent cx="923925" cy="409575"/>
                  <wp:effectExtent l="0" t="0" r="9525" b="9525"/>
                  <wp:wrapTight wrapText="bothSides">
                    <wp:wrapPolygon edited="0">
                      <wp:start x="0" y="0"/>
                      <wp:lineTo x="0" y="21098"/>
                      <wp:lineTo x="21377" y="21098"/>
                      <wp:lineTo x="21377" y="0"/>
                      <wp:lineTo x="0" y="0"/>
                    </wp:wrapPolygon>
                  </wp:wrapTight>
                  <wp:docPr id="11482499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1910" name=""/>
                          <pic:cNvPicPr/>
                        </pic:nvPicPr>
                        <pic:blipFill rotWithShape="1">
                          <a:blip r:embed="rId8">
                            <a:extLst>
                              <a:ext uri="{28A0092B-C50C-407E-A947-70E740481C1C}">
                                <a14:useLocalDpi xmlns:a14="http://schemas.microsoft.com/office/drawing/2010/main" val="0"/>
                              </a:ext>
                            </a:extLst>
                          </a:blip>
                          <a:srcRect b="10417"/>
                          <a:stretch>
                            <a:fillRect/>
                          </a:stretch>
                        </pic:blipFill>
                        <pic:spPr bwMode="auto">
                          <a:xfrm>
                            <a:off x="0" y="0"/>
                            <a:ext cx="923925" cy="409575"/>
                          </a:xfrm>
                          <a:prstGeom prst="rect">
                            <a:avLst/>
                          </a:prstGeom>
                          <a:ln>
                            <a:noFill/>
                          </a:ln>
                          <a:extLst>
                            <a:ext uri="{53640926-AAD7-44D8-BBD7-CCE9431645EC}">
                              <a14:shadowObscured xmlns:a14="http://schemas.microsoft.com/office/drawing/2010/main"/>
                            </a:ext>
                          </a:extLst>
                        </pic:spPr>
                      </pic:pic>
                    </a:graphicData>
                  </a:graphic>
                </wp:anchor>
              </w:drawing>
            </w:r>
          </w:p>
          <w:p w14:paraId="064C2A4A" w14:textId="77777777" w:rsidR="00351437" w:rsidRPr="00351437" w:rsidRDefault="00351437" w:rsidP="00351437">
            <w:pPr>
              <w:widowControl w:val="0"/>
              <w:spacing w:after="120" w:line="360" w:lineRule="auto"/>
              <w:ind w:left="360"/>
              <w:contextualSpacing/>
              <w:jc w:val="center"/>
              <w:rPr>
                <w:rFonts w:ascii="Times New Roman" w:eastAsia="Times New Roman" w:hAnsi="Times New Roman" w:cs="David"/>
                <w:noProof/>
                <w:color w:val="000000"/>
                <w:sz w:val="24"/>
                <w:szCs w:val="24"/>
              </w:rPr>
            </w:pPr>
          </w:p>
        </w:tc>
        <w:tc>
          <w:tcPr>
            <w:tcW w:w="2735" w:type="dxa"/>
          </w:tcPr>
          <w:p w14:paraId="32FF1893" w14:textId="77777777" w:rsidR="00351437" w:rsidRPr="00351437" w:rsidRDefault="00351437" w:rsidP="00351437">
            <w:pPr>
              <w:widowControl w:val="0"/>
              <w:spacing w:after="120" w:line="360" w:lineRule="auto"/>
              <w:ind w:left="360"/>
              <w:contextualSpacing/>
              <w:jc w:val="both"/>
              <w:rPr>
                <w:rFonts w:ascii="David" w:eastAsia="Times New Roman" w:hAnsi="David" w:cs="David"/>
                <w:b/>
                <w:bCs/>
                <w:color w:val="000000"/>
                <w:sz w:val="24"/>
                <w:szCs w:val="24"/>
              </w:rPr>
            </w:pPr>
            <w:r w:rsidRPr="00351437">
              <w:rPr>
                <w:rFonts w:ascii="David" w:eastAsia="Times New Roman" w:hAnsi="David" w:cs="David"/>
                <w:b/>
                <w:bCs/>
                <w:noProof/>
                <w:color w:val="000000"/>
                <w:sz w:val="24"/>
                <w:szCs w:val="24"/>
              </w:rPr>
              <w:drawing>
                <wp:anchor distT="0" distB="0" distL="114300" distR="114300" simplePos="0" relativeHeight="251667456" behindDoc="1" locked="0" layoutInCell="1" allowOverlap="1" wp14:anchorId="4F21CB64" wp14:editId="5E8494B7">
                  <wp:simplePos x="0" y="0"/>
                  <wp:positionH relativeFrom="column">
                    <wp:posOffset>607695</wp:posOffset>
                  </wp:positionH>
                  <wp:positionV relativeFrom="paragraph">
                    <wp:posOffset>123825</wp:posOffset>
                  </wp:positionV>
                  <wp:extent cx="426720" cy="274320"/>
                  <wp:effectExtent l="0" t="0" r="0" b="0"/>
                  <wp:wrapNone/>
                  <wp:docPr id="7446507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 cy="274320"/>
                          </a:xfrm>
                          <a:prstGeom prst="rect">
                            <a:avLst/>
                          </a:prstGeom>
                          <a:noFill/>
                        </pic:spPr>
                      </pic:pic>
                    </a:graphicData>
                  </a:graphic>
                </wp:anchor>
              </w:drawing>
            </w:r>
          </w:p>
          <w:p w14:paraId="7F5E8203" w14:textId="77777777" w:rsidR="00351437" w:rsidRPr="00351437" w:rsidRDefault="00351437" w:rsidP="00351437">
            <w:pPr>
              <w:widowControl w:val="0"/>
              <w:spacing w:after="120" w:line="360" w:lineRule="auto"/>
              <w:ind w:left="360"/>
              <w:contextualSpacing/>
              <w:jc w:val="center"/>
              <w:rPr>
                <w:rFonts w:ascii="David" w:eastAsia="Times New Roman" w:hAnsi="David" w:cs="David"/>
                <w:b/>
                <w:bCs/>
                <w:color w:val="000000"/>
                <w:sz w:val="24"/>
                <w:szCs w:val="24"/>
                <w:rtl/>
              </w:rPr>
            </w:pPr>
          </w:p>
        </w:tc>
      </w:tr>
      <w:tr w:rsidR="00351437" w:rsidRPr="00351437" w14:paraId="25317F5F" w14:textId="77777777" w:rsidTr="00351437">
        <w:trPr>
          <w:trHeight w:val="1112"/>
        </w:trPr>
        <w:tc>
          <w:tcPr>
            <w:tcW w:w="2766" w:type="dxa"/>
          </w:tcPr>
          <w:p w14:paraId="303B6A73" w14:textId="77777777" w:rsidR="00351437" w:rsidRPr="00351437" w:rsidRDefault="00351437" w:rsidP="00351437">
            <w:pPr>
              <w:widowControl w:val="0"/>
              <w:spacing w:after="120" w:line="360" w:lineRule="auto"/>
              <w:ind w:left="360"/>
              <w:contextualSpacing/>
              <w:jc w:val="center"/>
              <w:rPr>
                <w:rFonts w:ascii="David" w:eastAsia="Times New Roman" w:hAnsi="David" w:cs="David"/>
                <w:b/>
                <w:bCs/>
                <w:color w:val="000000"/>
                <w:sz w:val="24"/>
                <w:szCs w:val="24"/>
                <w:rtl/>
              </w:rPr>
            </w:pPr>
            <w:proofErr w:type="spellStart"/>
            <w:r w:rsidRPr="00351437">
              <w:rPr>
                <w:rFonts w:ascii="David" w:eastAsia="Times New Roman" w:hAnsi="David" w:cs="David" w:hint="cs"/>
                <w:b/>
                <w:bCs/>
                <w:color w:val="000000"/>
                <w:sz w:val="24"/>
                <w:szCs w:val="24"/>
                <w:rtl/>
              </w:rPr>
              <w:t>טלילה</w:t>
            </w:r>
            <w:proofErr w:type="spellEnd"/>
            <w:r w:rsidRPr="00351437">
              <w:rPr>
                <w:rFonts w:ascii="David" w:eastAsia="Times New Roman" w:hAnsi="David" w:cs="David" w:hint="cs"/>
                <w:b/>
                <w:bCs/>
                <w:color w:val="000000"/>
                <w:sz w:val="24"/>
                <w:szCs w:val="24"/>
                <w:rtl/>
              </w:rPr>
              <w:t xml:space="preserve"> דביר, עו"ד</w:t>
            </w:r>
          </w:p>
          <w:p w14:paraId="726F8AF3" w14:textId="77777777" w:rsidR="00351437" w:rsidRPr="00351437" w:rsidRDefault="00351437" w:rsidP="00351437">
            <w:pPr>
              <w:widowControl w:val="0"/>
              <w:spacing w:after="120" w:line="360" w:lineRule="auto"/>
              <w:ind w:left="360"/>
              <w:contextualSpacing/>
              <w:jc w:val="center"/>
              <w:rPr>
                <w:rFonts w:ascii="David" w:eastAsia="Times New Roman" w:hAnsi="David" w:cs="David"/>
                <w:color w:val="000000"/>
                <w:sz w:val="24"/>
                <w:szCs w:val="24"/>
                <w:rtl/>
              </w:rPr>
            </w:pPr>
            <w:r w:rsidRPr="00351437">
              <w:rPr>
                <w:rFonts w:ascii="David" w:eastAsia="Times New Roman" w:hAnsi="David" w:cs="David" w:hint="cs"/>
                <w:color w:val="000000"/>
                <w:sz w:val="24"/>
                <w:szCs w:val="24"/>
                <w:rtl/>
              </w:rPr>
              <w:t>האגף הכלכלי</w:t>
            </w:r>
          </w:p>
          <w:p w14:paraId="3C328FED" w14:textId="77777777" w:rsidR="00351437" w:rsidRPr="00351437" w:rsidRDefault="00351437" w:rsidP="00351437">
            <w:pPr>
              <w:widowControl w:val="0"/>
              <w:spacing w:after="120" w:line="360" w:lineRule="auto"/>
              <w:ind w:left="360"/>
              <w:contextualSpacing/>
              <w:jc w:val="center"/>
              <w:rPr>
                <w:rFonts w:ascii="David" w:eastAsia="Times New Roman" w:hAnsi="David" w:cs="David"/>
                <w:color w:val="000000"/>
                <w:sz w:val="24"/>
                <w:szCs w:val="24"/>
                <w:rtl/>
              </w:rPr>
            </w:pPr>
            <w:r w:rsidRPr="00351437">
              <w:rPr>
                <w:rFonts w:ascii="David" w:eastAsia="Times New Roman" w:hAnsi="David" w:cs="David" w:hint="cs"/>
                <w:color w:val="000000"/>
                <w:sz w:val="24"/>
                <w:szCs w:val="24"/>
                <w:rtl/>
              </w:rPr>
              <w:t>התנועה לאיכות השלטון</w:t>
            </w:r>
          </w:p>
        </w:tc>
        <w:tc>
          <w:tcPr>
            <w:tcW w:w="2735" w:type="dxa"/>
            <w:hideMark/>
          </w:tcPr>
          <w:p w14:paraId="7AC8567A" w14:textId="77777777" w:rsidR="00351437" w:rsidRPr="00351437" w:rsidRDefault="00351437" w:rsidP="00351437">
            <w:pPr>
              <w:widowControl w:val="0"/>
              <w:spacing w:after="120" w:line="360" w:lineRule="auto"/>
              <w:ind w:left="360"/>
              <w:contextualSpacing/>
              <w:jc w:val="center"/>
              <w:rPr>
                <w:rFonts w:ascii="David" w:eastAsia="Times New Roman" w:hAnsi="David" w:cs="David"/>
                <w:b/>
                <w:bCs/>
                <w:color w:val="000000"/>
                <w:sz w:val="24"/>
                <w:szCs w:val="24"/>
                <w:rtl/>
              </w:rPr>
            </w:pPr>
            <w:r w:rsidRPr="00351437">
              <w:rPr>
                <w:rFonts w:ascii="David" w:eastAsia="Times New Roman" w:hAnsi="David" w:cs="David" w:hint="cs"/>
                <w:b/>
                <w:bCs/>
                <w:color w:val="000000"/>
                <w:sz w:val="24"/>
                <w:szCs w:val="24"/>
                <w:rtl/>
              </w:rPr>
              <w:t>ניצן גור</w:t>
            </w:r>
          </w:p>
          <w:p w14:paraId="72AA8F49" w14:textId="77777777" w:rsidR="00351437" w:rsidRPr="00351437" w:rsidRDefault="00351437" w:rsidP="00351437">
            <w:pPr>
              <w:widowControl w:val="0"/>
              <w:spacing w:after="120" w:line="360" w:lineRule="auto"/>
              <w:ind w:left="360"/>
              <w:contextualSpacing/>
              <w:jc w:val="center"/>
              <w:rPr>
                <w:rFonts w:ascii="David" w:eastAsia="Times New Roman" w:hAnsi="David" w:cs="David"/>
                <w:color w:val="000000"/>
                <w:sz w:val="24"/>
                <w:szCs w:val="24"/>
                <w:rtl/>
              </w:rPr>
            </w:pPr>
            <w:r w:rsidRPr="00351437">
              <w:rPr>
                <w:rFonts w:ascii="David" w:eastAsia="Times New Roman" w:hAnsi="David" w:cs="David"/>
                <w:color w:val="000000"/>
                <w:sz w:val="24"/>
                <w:szCs w:val="24"/>
                <w:rtl/>
              </w:rPr>
              <w:t>האגף הכלכלי</w:t>
            </w:r>
          </w:p>
          <w:p w14:paraId="1447E539" w14:textId="77777777" w:rsidR="00351437" w:rsidRPr="00351437" w:rsidRDefault="00351437" w:rsidP="00351437">
            <w:pPr>
              <w:widowControl w:val="0"/>
              <w:spacing w:after="120" w:line="360" w:lineRule="auto"/>
              <w:ind w:left="360"/>
              <w:contextualSpacing/>
              <w:jc w:val="center"/>
              <w:rPr>
                <w:rFonts w:ascii="David" w:eastAsia="Times New Roman" w:hAnsi="David" w:cs="David"/>
                <w:color w:val="000000"/>
                <w:sz w:val="24"/>
                <w:szCs w:val="24"/>
                <w:rtl/>
              </w:rPr>
            </w:pPr>
            <w:r w:rsidRPr="00351437">
              <w:rPr>
                <w:rFonts w:ascii="David" w:eastAsia="Times New Roman" w:hAnsi="David" w:cs="David"/>
                <w:color w:val="000000"/>
                <w:sz w:val="24"/>
                <w:szCs w:val="24"/>
                <w:rtl/>
              </w:rPr>
              <w:t>התנועה לאיכות השלטון</w:t>
            </w:r>
          </w:p>
        </w:tc>
      </w:tr>
    </w:tbl>
    <w:p w14:paraId="7798CF1D" w14:textId="77777777" w:rsidR="00772692" w:rsidRDefault="00772692" w:rsidP="00EC6824">
      <w:pPr>
        <w:jc w:val="center"/>
        <w:rPr>
          <w:rFonts w:ascii="David" w:hAnsi="David" w:cs="David"/>
          <w:sz w:val="24"/>
          <w:szCs w:val="24"/>
          <w:rtl/>
        </w:rPr>
      </w:pPr>
    </w:p>
    <w:p w14:paraId="2DD1F222" w14:textId="77777777" w:rsidR="00772692" w:rsidRPr="00351437" w:rsidRDefault="00772692" w:rsidP="00EC6824">
      <w:pPr>
        <w:jc w:val="center"/>
        <w:rPr>
          <w:rFonts w:ascii="David" w:hAnsi="David" w:cs="David"/>
          <w:sz w:val="24"/>
          <w:szCs w:val="24"/>
          <w:rtl/>
        </w:rPr>
      </w:pPr>
    </w:p>
    <w:p w14:paraId="204E4943" w14:textId="77777777" w:rsidR="00772692" w:rsidRDefault="00772692" w:rsidP="00EC6824">
      <w:pPr>
        <w:jc w:val="center"/>
        <w:rPr>
          <w:rFonts w:ascii="David" w:hAnsi="David" w:cs="David"/>
          <w:sz w:val="24"/>
          <w:szCs w:val="24"/>
          <w:rtl/>
        </w:rPr>
      </w:pPr>
    </w:p>
    <w:p w14:paraId="25AC2DF3" w14:textId="77777777" w:rsidR="00351437" w:rsidRDefault="00351437" w:rsidP="00351437">
      <w:pPr>
        <w:spacing w:before="240" w:after="0" w:line="360" w:lineRule="auto"/>
        <w:ind w:left="-227"/>
        <w:contextualSpacing/>
        <w:jc w:val="both"/>
        <w:rPr>
          <w:rFonts w:ascii="David" w:hAnsi="David" w:cs="David"/>
          <w:b/>
          <w:bCs/>
          <w:sz w:val="24"/>
          <w:szCs w:val="24"/>
          <w:u w:val="single"/>
          <w:rtl/>
        </w:rPr>
      </w:pPr>
    </w:p>
    <w:p w14:paraId="4FCCDBEB" w14:textId="596B8B6F" w:rsidR="000C0A0F" w:rsidRDefault="000C0A0F" w:rsidP="00351437">
      <w:pPr>
        <w:spacing w:before="240" w:after="0" w:line="360" w:lineRule="auto"/>
        <w:ind w:left="-227"/>
        <w:contextualSpacing/>
        <w:jc w:val="both"/>
        <w:rPr>
          <w:rFonts w:ascii="David" w:hAnsi="David" w:cs="David"/>
          <w:b/>
          <w:bCs/>
          <w:sz w:val="24"/>
          <w:szCs w:val="24"/>
          <w:u w:val="single"/>
          <w:rtl/>
        </w:rPr>
      </w:pPr>
      <w:r w:rsidRPr="00772692">
        <w:rPr>
          <w:rFonts w:ascii="David" w:hAnsi="David" w:cs="David" w:hint="eastAsia"/>
          <w:b/>
          <w:bCs/>
          <w:sz w:val="24"/>
          <w:szCs w:val="24"/>
          <w:u w:val="single"/>
          <w:rtl/>
        </w:rPr>
        <w:t>העתקים</w:t>
      </w:r>
      <w:r w:rsidRPr="00DD0851">
        <w:rPr>
          <w:rFonts w:ascii="David" w:hAnsi="David" w:cs="David" w:hint="cs"/>
          <w:sz w:val="24"/>
          <w:szCs w:val="24"/>
          <w:rtl/>
        </w:rPr>
        <w:t>:</w:t>
      </w:r>
    </w:p>
    <w:p w14:paraId="2091EDEA" w14:textId="574318B2" w:rsidR="00DD0851" w:rsidRDefault="00DD0851" w:rsidP="00772692">
      <w:pPr>
        <w:spacing w:before="240" w:after="0" w:line="360" w:lineRule="auto"/>
        <w:ind w:left="-227" w:right="-227"/>
        <w:contextualSpacing/>
        <w:jc w:val="both"/>
        <w:rPr>
          <w:rFonts w:ascii="David" w:hAnsi="David" w:cs="David"/>
          <w:sz w:val="24"/>
          <w:szCs w:val="24"/>
          <w:rtl/>
        </w:rPr>
      </w:pPr>
      <w:r>
        <w:rPr>
          <w:rFonts w:ascii="David" w:hAnsi="David" w:cs="David" w:hint="cs"/>
          <w:sz w:val="24"/>
          <w:szCs w:val="24"/>
          <w:rtl/>
        </w:rPr>
        <w:t>חה"כ שלמה קרעי, שר התקשורת</w:t>
      </w:r>
    </w:p>
    <w:p w14:paraId="34566DEE" w14:textId="3BB58962" w:rsidR="000C0A0F" w:rsidRPr="00772692" w:rsidRDefault="00DD0851" w:rsidP="00351437">
      <w:pPr>
        <w:spacing w:before="240" w:after="0" w:line="360" w:lineRule="auto"/>
        <w:ind w:left="-227" w:right="-227"/>
        <w:contextualSpacing/>
        <w:jc w:val="both"/>
        <w:rPr>
          <w:rFonts w:ascii="David" w:hAnsi="David" w:cs="David"/>
          <w:sz w:val="24"/>
          <w:szCs w:val="24"/>
        </w:rPr>
      </w:pPr>
      <w:r>
        <w:rPr>
          <w:rFonts w:ascii="David" w:hAnsi="David" w:cs="David" w:hint="cs"/>
          <w:sz w:val="24"/>
          <w:szCs w:val="24"/>
          <w:rtl/>
        </w:rPr>
        <w:t xml:space="preserve">עו"ד </w:t>
      </w:r>
      <w:r w:rsidR="007D4071">
        <w:rPr>
          <w:rFonts w:ascii="David" w:hAnsi="David" w:cs="David" w:hint="cs"/>
          <w:sz w:val="24"/>
          <w:szCs w:val="24"/>
          <w:rtl/>
        </w:rPr>
        <w:t xml:space="preserve">גלי בהרב מיאה, היועצת המשפטית לממשלה </w:t>
      </w:r>
    </w:p>
    <w:sectPr w:rsidR="000C0A0F" w:rsidRPr="00772692" w:rsidSect="00351437">
      <w:headerReference w:type="default" r:id="rId10"/>
      <w:footerReference w:type="even" r:id="rId11"/>
      <w:footerReference w:type="default" r:id="rId12"/>
      <w:pgSz w:w="12240" w:h="15840"/>
      <w:pgMar w:top="2495" w:right="1701" w:bottom="1814" w:left="1701" w:header="57" w:footer="113" w:gutter="0"/>
      <w:pgNumType w:fmt="numberInDash"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62794" w14:textId="77777777" w:rsidR="00E91223" w:rsidRDefault="00E91223" w:rsidP="00CA5BAD">
      <w:pPr>
        <w:spacing w:after="0" w:line="240" w:lineRule="auto"/>
      </w:pPr>
      <w:r>
        <w:separator/>
      </w:r>
    </w:p>
  </w:endnote>
  <w:endnote w:type="continuationSeparator" w:id="0">
    <w:p w14:paraId="70119131" w14:textId="77777777" w:rsidR="00E91223" w:rsidRDefault="00E91223" w:rsidP="00CA5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asassy Caps">
    <w:charset w:val="00"/>
    <w:family w:val="auto"/>
    <w:pitch w:val="variable"/>
    <w:sig w:usb0="A00002FF" w:usb1="4000A0D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tl/>
      </w:rPr>
      <w:id w:val="-1838450335"/>
      <w:docPartObj>
        <w:docPartGallery w:val="Page Numbers (Bottom of Page)"/>
        <w:docPartUnique/>
      </w:docPartObj>
    </w:sdtPr>
    <w:sdtContent>
      <w:p w14:paraId="3BC32C14" w14:textId="77777777" w:rsidR="00230DC9" w:rsidRDefault="00263274">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sdt>
    <w:sdtPr>
      <w:rPr>
        <w:rStyle w:val="a7"/>
        <w:rtl/>
      </w:rPr>
      <w:id w:val="2025595209"/>
      <w:docPartObj>
        <w:docPartGallery w:val="Page Numbers (Bottom of Page)"/>
        <w:docPartUnique/>
      </w:docPartObj>
    </w:sdtPr>
    <w:sdtContent>
      <w:p w14:paraId="497EC645" w14:textId="77777777" w:rsidR="00230DC9" w:rsidRDefault="00263274">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1F891817" w14:textId="77777777" w:rsidR="00230DC9" w:rsidRDefault="00230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74FB" w14:textId="77777777" w:rsidR="00230DC9" w:rsidRDefault="00230DC9" w:rsidP="00FF0E65">
    <w:pPr>
      <w:pStyle w:val="a5"/>
      <w:jc w:val="center"/>
      <w:rPr>
        <w:rFonts w:ascii="David" w:hAnsi="David" w:cs="David"/>
        <w:color w:val="000000" w:themeColor="text1"/>
      </w:rPr>
    </w:pPr>
  </w:p>
  <w:p w14:paraId="411793AE" w14:textId="77777777" w:rsidR="00230DC9" w:rsidRPr="00FF0E65" w:rsidRDefault="00263274" w:rsidP="00FF0E65">
    <w:pPr>
      <w:pStyle w:val="a5"/>
      <w:jc w:val="center"/>
      <w:rPr>
        <w:rFonts w:ascii="David" w:hAnsi="David" w:cs="David"/>
        <w:color w:val="5B9BD5" w:themeColor="accent1"/>
      </w:rPr>
    </w:pPr>
    <w:r>
      <w:rPr>
        <w:rFonts w:ascii="David" w:hAnsi="David" w:cs="David"/>
        <w:noProof/>
        <w:color w:val="000000" w:themeColor="text1"/>
        <w:rtl/>
        <w14:ligatures w14:val="standardContextual"/>
      </w:rPr>
      <w:drawing>
        <wp:anchor distT="0" distB="0" distL="114300" distR="114300" simplePos="0" relativeHeight="251660288" behindDoc="1" locked="0" layoutInCell="1" allowOverlap="1" wp14:anchorId="4589C8F7" wp14:editId="51EF77DB">
          <wp:simplePos x="0" y="0"/>
          <wp:positionH relativeFrom="column">
            <wp:posOffset>38388</wp:posOffset>
          </wp:positionH>
          <wp:positionV relativeFrom="paragraph">
            <wp:posOffset>-737235</wp:posOffset>
          </wp:positionV>
          <wp:extent cx="5943600" cy="6845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Pr="00DD4ECE">
      <w:rPr>
        <w:rFonts w:ascii="David" w:hAnsi="David" w:cs="David"/>
        <w:color w:val="000000" w:themeColor="text1"/>
        <w:rtl/>
      </w:rPr>
      <w:t>עמוד</w:t>
    </w:r>
    <w:r w:rsidRPr="00DD4ECE">
      <w:rPr>
        <w:rFonts w:ascii="David" w:hAnsi="David" w:cs="David"/>
        <w:color w:val="5B9BD5" w:themeColor="accent1"/>
        <w:rtl/>
      </w:rPr>
      <w:t xml:space="preserve"> </w:t>
    </w:r>
    <w:r w:rsidRPr="00DD4ECE">
      <w:rPr>
        <w:rFonts w:ascii="David" w:hAnsi="David" w:cs="David"/>
        <w:color w:val="000000" w:themeColor="text1"/>
      </w:rPr>
      <w:fldChar w:fldCharType="begin"/>
    </w:r>
    <w:r w:rsidRPr="00DD4ECE">
      <w:rPr>
        <w:rFonts w:ascii="David" w:hAnsi="David" w:cs="David"/>
        <w:color w:val="000000" w:themeColor="text1"/>
      </w:rPr>
      <w:instrText xml:space="preserve"> PAGE  \* Arabic  \* MERGEFORMAT </w:instrText>
    </w:r>
    <w:r w:rsidRPr="00DD4ECE">
      <w:rPr>
        <w:rFonts w:ascii="David" w:hAnsi="David" w:cs="David"/>
        <w:color w:val="000000" w:themeColor="text1"/>
      </w:rPr>
      <w:fldChar w:fldCharType="separate"/>
    </w:r>
    <w:r w:rsidR="005F46F2">
      <w:rPr>
        <w:rFonts w:ascii="David" w:hAnsi="David" w:cs="David"/>
        <w:noProof/>
        <w:color w:val="000000" w:themeColor="text1"/>
      </w:rPr>
      <w:t>2</w:t>
    </w:r>
    <w:r w:rsidRPr="00DD4ECE">
      <w:rPr>
        <w:rFonts w:ascii="David" w:hAnsi="David" w:cs="David"/>
        <w:color w:val="000000" w:themeColor="text1"/>
      </w:rPr>
      <w:fldChar w:fldCharType="end"/>
    </w:r>
    <w:r w:rsidRPr="00DD4ECE">
      <w:rPr>
        <w:rFonts w:ascii="David" w:hAnsi="David" w:cs="David"/>
        <w:color w:val="000000" w:themeColor="text1"/>
      </w:rPr>
      <w:t xml:space="preserve"> </w:t>
    </w:r>
    <w:r w:rsidRPr="00DD4ECE">
      <w:rPr>
        <w:rFonts w:ascii="David" w:hAnsi="David" w:cs="David"/>
        <w:color w:val="000000" w:themeColor="text1"/>
        <w:rtl/>
      </w:rPr>
      <w:t xml:space="preserve">מתוך </w:t>
    </w:r>
    <w:r w:rsidRPr="00DD4ECE">
      <w:rPr>
        <w:rFonts w:ascii="David" w:hAnsi="David" w:cs="David"/>
        <w:color w:val="000000" w:themeColor="text1"/>
      </w:rPr>
      <w:t xml:space="preserve"> </w:t>
    </w:r>
    <w:r w:rsidRPr="00DD4ECE">
      <w:rPr>
        <w:rFonts w:ascii="David" w:hAnsi="David" w:cs="David"/>
        <w:color w:val="000000" w:themeColor="text1"/>
      </w:rPr>
      <w:fldChar w:fldCharType="begin"/>
    </w:r>
    <w:r w:rsidRPr="00DD4ECE">
      <w:rPr>
        <w:rFonts w:ascii="David" w:hAnsi="David" w:cs="David"/>
        <w:color w:val="000000" w:themeColor="text1"/>
      </w:rPr>
      <w:instrText xml:space="preserve"> NUMPAGES  \* Arabic  \* MERGEFORMAT </w:instrText>
    </w:r>
    <w:r w:rsidRPr="00DD4ECE">
      <w:rPr>
        <w:rFonts w:ascii="David" w:hAnsi="David" w:cs="David"/>
        <w:color w:val="000000" w:themeColor="text1"/>
      </w:rPr>
      <w:fldChar w:fldCharType="separate"/>
    </w:r>
    <w:r w:rsidR="005F46F2">
      <w:rPr>
        <w:rFonts w:ascii="David" w:hAnsi="David" w:cs="David"/>
        <w:noProof/>
        <w:color w:val="000000" w:themeColor="text1"/>
      </w:rPr>
      <w:t>2</w:t>
    </w:r>
    <w:r w:rsidRPr="00DD4ECE">
      <w:rPr>
        <w:rFonts w:ascii="David" w:hAnsi="David" w:cs="David"/>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94266" w14:textId="77777777" w:rsidR="00E91223" w:rsidRDefault="00E91223" w:rsidP="00CA5BAD">
      <w:pPr>
        <w:spacing w:after="0" w:line="240" w:lineRule="auto"/>
      </w:pPr>
      <w:r>
        <w:separator/>
      </w:r>
    </w:p>
  </w:footnote>
  <w:footnote w:type="continuationSeparator" w:id="0">
    <w:p w14:paraId="4C2227C1" w14:textId="77777777" w:rsidR="00E91223" w:rsidRDefault="00E91223" w:rsidP="00CA5BAD">
      <w:pPr>
        <w:spacing w:after="0" w:line="240" w:lineRule="auto"/>
      </w:pPr>
      <w:r>
        <w:continuationSeparator/>
      </w:r>
    </w:p>
  </w:footnote>
  <w:footnote w:id="1">
    <w:p w14:paraId="5D2AFE4F" w14:textId="3FFB12EE" w:rsidR="00DE0847" w:rsidRDefault="00DE0847" w:rsidP="00DE0847">
      <w:pPr>
        <w:pStyle w:val="ab"/>
        <w:ind w:left="-454"/>
        <w:jc w:val="both"/>
      </w:pPr>
      <w:r>
        <w:rPr>
          <w:rStyle w:val="ad"/>
        </w:rPr>
        <w:footnoteRef/>
      </w:r>
      <w:r>
        <w:rPr>
          <w:rtl/>
        </w:rPr>
        <w:t xml:space="preserve"> </w:t>
      </w:r>
      <w:r>
        <w:rPr>
          <w:rFonts w:hint="cs"/>
          <w:rtl/>
        </w:rPr>
        <w:t xml:space="preserve">חוק הרשות השנייה, התש"ן-1990, </w:t>
      </w:r>
      <w:r w:rsidR="00763B03">
        <w:rPr>
          <w:rFonts w:hint="cs"/>
          <w:rtl/>
        </w:rPr>
        <w:t>ב</w:t>
      </w:r>
      <w:r>
        <w:rPr>
          <w:rFonts w:hint="cs"/>
          <w:rtl/>
        </w:rPr>
        <w:t>סעיף 71ו.</w:t>
      </w:r>
    </w:p>
  </w:footnote>
  <w:footnote w:id="2">
    <w:p w14:paraId="451994AB" w14:textId="1BBD80B9" w:rsidR="00D63B28" w:rsidRDefault="00D63B28" w:rsidP="00D63B28">
      <w:pPr>
        <w:pStyle w:val="ab"/>
        <w:ind w:left="-454"/>
        <w:jc w:val="both"/>
        <w:rPr>
          <w:rtl/>
        </w:rPr>
      </w:pPr>
      <w:r>
        <w:rPr>
          <w:rStyle w:val="ad"/>
        </w:rPr>
        <w:footnoteRef/>
      </w:r>
      <w:r>
        <w:rPr>
          <w:rtl/>
        </w:rPr>
        <w:t xml:space="preserve"> </w:t>
      </w:r>
      <w:r w:rsidR="00A96143" w:rsidRPr="00772692">
        <w:rPr>
          <w:rFonts w:hint="eastAsia"/>
          <w:b/>
          <w:bCs/>
          <w:rtl/>
        </w:rPr>
        <w:t>שם</w:t>
      </w:r>
      <w:r w:rsidR="00A96143">
        <w:rPr>
          <w:rFonts w:hint="cs"/>
          <w:rtl/>
        </w:rPr>
        <w:t>,</w:t>
      </w:r>
      <w:r>
        <w:rPr>
          <w:rFonts w:hint="cs"/>
          <w:rtl/>
        </w:rPr>
        <w:t xml:space="preserve"> </w:t>
      </w:r>
      <w:r w:rsidR="00C6772D">
        <w:rPr>
          <w:rFonts w:hint="cs"/>
          <w:rtl/>
        </w:rPr>
        <w:t>ב</w:t>
      </w:r>
      <w:r>
        <w:rPr>
          <w:rFonts w:hint="cs"/>
          <w:rtl/>
        </w:rPr>
        <w:t>סעי</w:t>
      </w:r>
      <w:r w:rsidR="00C6772D">
        <w:rPr>
          <w:rFonts w:hint="cs"/>
          <w:rtl/>
        </w:rPr>
        <w:t>פים</w:t>
      </w:r>
      <w:r>
        <w:rPr>
          <w:rFonts w:hint="cs"/>
          <w:rtl/>
        </w:rPr>
        <w:t xml:space="preserve"> 71</w:t>
      </w:r>
      <w:r w:rsidR="005306C8">
        <w:rPr>
          <w:rFonts w:hint="cs"/>
          <w:rtl/>
        </w:rPr>
        <w:t>ח ו-71י</w:t>
      </w:r>
      <w:r>
        <w:rPr>
          <w:rFonts w:hint="cs"/>
          <w:rtl/>
        </w:rPr>
        <w:t>.</w:t>
      </w:r>
    </w:p>
  </w:footnote>
  <w:footnote w:id="3">
    <w:p w14:paraId="016949F4" w14:textId="3D8D29F7" w:rsidR="00D63B28" w:rsidRPr="00E84FCC" w:rsidRDefault="00D63B28" w:rsidP="00D63B28">
      <w:pPr>
        <w:pStyle w:val="ab"/>
        <w:ind w:left="-454"/>
        <w:jc w:val="both"/>
        <w:rPr>
          <w:rtl/>
        </w:rPr>
      </w:pPr>
      <w:r>
        <w:rPr>
          <w:rStyle w:val="ad"/>
        </w:rPr>
        <w:footnoteRef/>
      </w:r>
      <w:r>
        <w:rPr>
          <w:rtl/>
        </w:rPr>
        <w:t xml:space="preserve"> </w:t>
      </w:r>
      <w:r>
        <w:rPr>
          <w:rFonts w:hint="cs"/>
          <w:rtl/>
        </w:rPr>
        <w:t>יסמין גואטה "</w:t>
      </w:r>
      <w:r w:rsidRPr="00E84FCC">
        <w:rPr>
          <w:rtl/>
        </w:rPr>
        <w:t>ערוץ 14 כבר נהפך למכונת מזומנים - למה הוא ממשיך לקבל הקלות וצ'ופרים?</w:t>
      </w:r>
      <w:r>
        <w:rPr>
          <w:rFonts w:hint="cs"/>
          <w:rtl/>
        </w:rPr>
        <w:t xml:space="preserve">" </w:t>
      </w:r>
      <w:r>
        <w:rPr>
          <w:b/>
          <w:bCs/>
        </w:rPr>
        <w:t>The Marker</w:t>
      </w:r>
      <w:r>
        <w:rPr>
          <w:rFonts w:hint="cs"/>
          <w:rtl/>
        </w:rPr>
        <w:t xml:space="preserve"> </w:t>
      </w:r>
      <w:r w:rsidR="00726BFA">
        <w:rPr>
          <w:rFonts w:hint="cs"/>
          <w:rtl/>
        </w:rPr>
        <w:t xml:space="preserve">(26.4.2026), </w:t>
      </w:r>
      <w:hyperlink r:id="rId1" w:history="1">
        <w:r w:rsidRPr="00E84FCC">
          <w:rPr>
            <w:rStyle w:val="Hyperlink"/>
            <w:rFonts w:hint="cs"/>
            <w:rtl/>
          </w:rPr>
          <w:t>זמין כאן</w:t>
        </w:r>
      </w:hyperlink>
      <w:r w:rsidR="00726BFA">
        <w:rPr>
          <w:rFonts w:hint="cs"/>
          <w:rtl/>
        </w:rPr>
        <w:t>.</w:t>
      </w:r>
    </w:p>
  </w:footnote>
  <w:footnote w:id="4">
    <w:p w14:paraId="44E0101A" w14:textId="52E6C8C4" w:rsidR="00EE45EA" w:rsidRDefault="00EE45EA" w:rsidP="00772692">
      <w:pPr>
        <w:pStyle w:val="ab"/>
        <w:ind w:left="-454"/>
        <w:jc w:val="both"/>
        <w:rPr>
          <w:rtl/>
        </w:rPr>
      </w:pPr>
      <w:r>
        <w:rPr>
          <w:rStyle w:val="ad"/>
        </w:rPr>
        <w:footnoteRef/>
      </w:r>
      <w:r>
        <w:rPr>
          <w:rtl/>
        </w:rPr>
        <w:t xml:space="preserve"> </w:t>
      </w:r>
      <w:r>
        <w:rPr>
          <w:rFonts w:hint="cs"/>
          <w:rtl/>
        </w:rPr>
        <w:t>חוק הרשות השנייה</w:t>
      </w:r>
      <w:r w:rsidR="00A96143">
        <w:rPr>
          <w:rFonts w:hint="cs"/>
          <w:rtl/>
        </w:rPr>
        <w:t>, בס</w:t>
      </w:r>
      <w:r>
        <w:rPr>
          <w:rFonts w:hint="cs"/>
          <w:rtl/>
        </w:rPr>
        <w:t xml:space="preserve">עיף 71ז(ב). </w:t>
      </w:r>
    </w:p>
  </w:footnote>
  <w:footnote w:id="5">
    <w:p w14:paraId="2B6139AA" w14:textId="72082DFC" w:rsidR="00866353" w:rsidRDefault="00866353" w:rsidP="00772692">
      <w:pPr>
        <w:pStyle w:val="ab"/>
        <w:ind w:left="-454"/>
        <w:jc w:val="both"/>
        <w:rPr>
          <w:rtl/>
        </w:rPr>
      </w:pPr>
      <w:r>
        <w:rPr>
          <w:rStyle w:val="ad"/>
        </w:rPr>
        <w:footnoteRef/>
      </w:r>
      <w:r>
        <w:rPr>
          <w:rtl/>
        </w:rPr>
        <w:t xml:space="preserve"> </w:t>
      </w:r>
      <w:r w:rsidRPr="00772692">
        <w:rPr>
          <w:rFonts w:hint="eastAsia"/>
          <w:b/>
          <w:bCs/>
          <w:rtl/>
        </w:rPr>
        <w:t>שם</w:t>
      </w:r>
      <w:r>
        <w:rPr>
          <w:rFonts w:hint="cs"/>
          <w:rtl/>
        </w:rPr>
        <w:t>, בסעיף 71ז(א).</w:t>
      </w:r>
    </w:p>
  </w:footnote>
  <w:footnote w:id="6">
    <w:p w14:paraId="2EE12764" w14:textId="644EA659" w:rsidR="001B5846" w:rsidRPr="00772692" w:rsidRDefault="001B5846" w:rsidP="00772692">
      <w:pPr>
        <w:pStyle w:val="ab"/>
        <w:ind w:left="-454"/>
        <w:jc w:val="both"/>
        <w:rPr>
          <w:rStyle w:val="ad"/>
          <w:rtl/>
        </w:rPr>
      </w:pPr>
      <w:r>
        <w:rPr>
          <w:rStyle w:val="ad"/>
        </w:rPr>
        <w:footnoteRef/>
      </w:r>
      <w:r w:rsidRPr="00772692">
        <w:rPr>
          <w:rStyle w:val="ad"/>
          <w:rtl/>
        </w:rPr>
        <w:t xml:space="preserve"> </w:t>
      </w:r>
      <w:r w:rsidRPr="004A6748">
        <w:rPr>
          <w:rFonts w:hint="cs"/>
          <w:rtl/>
        </w:rPr>
        <w:t xml:space="preserve">אתר הרשות השנייה, חדשות והודעות דוברות, רשימת ערוצים זעירים/ייעודים זעירים 2023, </w:t>
      </w:r>
      <w:hyperlink r:id="rId2" w:history="1">
        <w:r w:rsidRPr="00772692">
          <w:rPr>
            <w:rFonts w:hint="eastAsia"/>
            <w:color w:val="1F4E79" w:themeColor="accent1" w:themeShade="80"/>
            <w:rtl/>
          </w:rPr>
          <w:t>זמין</w:t>
        </w:r>
        <w:r w:rsidRPr="00772692">
          <w:rPr>
            <w:color w:val="1F4E79" w:themeColor="accent1" w:themeShade="80"/>
            <w:rtl/>
          </w:rPr>
          <w:t xml:space="preserve"> כאן</w:t>
        </w:r>
      </w:hyperlink>
      <w:r w:rsidR="004A6748">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EEFB" w14:textId="77777777" w:rsidR="00230DC9" w:rsidRDefault="00263274" w:rsidP="009E14E5">
    <w:pPr>
      <w:pStyle w:val="a3"/>
      <w:bidi w:val="0"/>
      <w:jc w:val="right"/>
      <w:rPr>
        <w:rtl/>
      </w:rPr>
    </w:pPr>
    <w:r>
      <w:rPr>
        <w:noProof/>
        <w14:ligatures w14:val="standardContextual"/>
      </w:rPr>
      <w:drawing>
        <wp:anchor distT="0" distB="0" distL="114300" distR="114300" simplePos="0" relativeHeight="251659264" behindDoc="0" locked="0" layoutInCell="1" allowOverlap="1" wp14:anchorId="308121F0" wp14:editId="64FFD48B">
          <wp:simplePos x="0" y="0"/>
          <wp:positionH relativeFrom="column">
            <wp:posOffset>396875</wp:posOffset>
          </wp:positionH>
          <wp:positionV relativeFrom="paragraph">
            <wp:posOffset>11430</wp:posOffset>
          </wp:positionV>
          <wp:extent cx="5654675" cy="139763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r>
      <w:rPr>
        <w:rFonts w:hint="eastAsia"/>
        <w:rtl/>
      </w:rPr>
      <w:t>‏</w:t>
    </w:r>
  </w:p>
  <w:p w14:paraId="79D213FB" w14:textId="77777777" w:rsidR="00230DC9" w:rsidRDefault="00230DC9" w:rsidP="00037B0A">
    <w:pPr>
      <w:pStyle w:val="a3"/>
      <w:bidi w:val="0"/>
      <w:jc w:val="right"/>
      <w:rPr>
        <w:rtl/>
      </w:rPr>
    </w:pPr>
  </w:p>
  <w:p w14:paraId="0B558DAE" w14:textId="77777777" w:rsidR="00230DC9" w:rsidRDefault="00230DC9" w:rsidP="00037B0A">
    <w:pPr>
      <w:pStyle w:val="a3"/>
      <w:bidi w:val="0"/>
      <w:jc w:val="right"/>
      <w:rPr>
        <w:rtl/>
      </w:rPr>
    </w:pPr>
  </w:p>
  <w:p w14:paraId="6C290BAC" w14:textId="77777777" w:rsidR="00230DC9" w:rsidRDefault="00230DC9" w:rsidP="00037B0A">
    <w:pPr>
      <w:pStyle w:val="a3"/>
      <w:bidi w:val="0"/>
      <w:jc w:val="right"/>
      <w:rPr>
        <w:rtl/>
      </w:rPr>
    </w:pPr>
  </w:p>
  <w:p w14:paraId="7DB1BFEA" w14:textId="77777777" w:rsidR="00230DC9" w:rsidRDefault="00230DC9" w:rsidP="00037B0A">
    <w:pPr>
      <w:pStyle w:val="a3"/>
      <w:bidi w:val="0"/>
      <w:jc w:val="right"/>
      <w:rPr>
        <w:rtl/>
      </w:rPr>
    </w:pPr>
  </w:p>
  <w:p w14:paraId="271C6CB8" w14:textId="77777777" w:rsidR="00230DC9" w:rsidRDefault="00230DC9" w:rsidP="00037B0A">
    <w:pPr>
      <w:pStyle w:val="a3"/>
      <w:bidi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443D"/>
    <w:multiLevelType w:val="hybridMultilevel"/>
    <w:tmpl w:val="7F2E7FBA"/>
    <w:lvl w:ilvl="0" w:tplc="8228B0C6">
      <w:start w:val="1"/>
      <w:numFmt w:val="decimal"/>
      <w:lvlText w:val="%1."/>
      <w:lvlJc w:val="left"/>
      <w:pPr>
        <w:ind w:left="360" w:hanging="360"/>
      </w:pPr>
      <w:rPr>
        <w:rFonts w:ascii="David" w:hAnsi="David" w:cs="David" w:hint="default"/>
        <w:b w:val="0"/>
        <w:bCs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5B78446C"/>
    <w:multiLevelType w:val="hybridMultilevel"/>
    <w:tmpl w:val="72D8655C"/>
    <w:lvl w:ilvl="0" w:tplc="FFFFFFFF">
      <w:start w:val="1"/>
      <w:numFmt w:val="decimal"/>
      <w:lvlText w:val="%1."/>
      <w:lvlJc w:val="left"/>
      <w:pPr>
        <w:ind w:left="360" w:hanging="360"/>
      </w:pPr>
      <w:rPr>
        <w:rFonts w:hint="default"/>
        <w:b w:val="0"/>
        <w:bCs w:val="0"/>
        <w:sz w:val="24"/>
        <w:szCs w:val="24"/>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290013288">
    <w:abstractNumId w:val="0"/>
  </w:num>
  <w:num w:numId="2" w16cid:durableId="822426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AD"/>
    <w:rsid w:val="00012F49"/>
    <w:rsid w:val="000C0A0F"/>
    <w:rsid w:val="00111545"/>
    <w:rsid w:val="00142EFD"/>
    <w:rsid w:val="00177F19"/>
    <w:rsid w:val="001B21CE"/>
    <w:rsid w:val="001B5846"/>
    <w:rsid w:val="00230DC9"/>
    <w:rsid w:val="00236D12"/>
    <w:rsid w:val="002469B8"/>
    <w:rsid w:val="002579C4"/>
    <w:rsid w:val="00263274"/>
    <w:rsid w:val="00265B55"/>
    <w:rsid w:val="00267DA1"/>
    <w:rsid w:val="00272A97"/>
    <w:rsid w:val="0027786D"/>
    <w:rsid w:val="00292C48"/>
    <w:rsid w:val="00317755"/>
    <w:rsid w:val="00351437"/>
    <w:rsid w:val="00376022"/>
    <w:rsid w:val="003D644A"/>
    <w:rsid w:val="003E7C2B"/>
    <w:rsid w:val="0042762F"/>
    <w:rsid w:val="004344AE"/>
    <w:rsid w:val="0048762B"/>
    <w:rsid w:val="004A6748"/>
    <w:rsid w:val="00500E14"/>
    <w:rsid w:val="00503C3B"/>
    <w:rsid w:val="0051334D"/>
    <w:rsid w:val="00523443"/>
    <w:rsid w:val="005306C8"/>
    <w:rsid w:val="005507ED"/>
    <w:rsid w:val="00577286"/>
    <w:rsid w:val="005F46F2"/>
    <w:rsid w:val="006815E5"/>
    <w:rsid w:val="006929DE"/>
    <w:rsid w:val="006C3F96"/>
    <w:rsid w:val="006D294F"/>
    <w:rsid w:val="006E6D63"/>
    <w:rsid w:val="006F4BE8"/>
    <w:rsid w:val="006F6E0E"/>
    <w:rsid w:val="00717331"/>
    <w:rsid w:val="00721CD9"/>
    <w:rsid w:val="00726BFA"/>
    <w:rsid w:val="00763B03"/>
    <w:rsid w:val="00772692"/>
    <w:rsid w:val="00780F2D"/>
    <w:rsid w:val="007864A4"/>
    <w:rsid w:val="007D4071"/>
    <w:rsid w:val="008247AC"/>
    <w:rsid w:val="008425EA"/>
    <w:rsid w:val="00866353"/>
    <w:rsid w:val="00880795"/>
    <w:rsid w:val="00891699"/>
    <w:rsid w:val="008A548C"/>
    <w:rsid w:val="008F6A52"/>
    <w:rsid w:val="00905898"/>
    <w:rsid w:val="00915718"/>
    <w:rsid w:val="009375DC"/>
    <w:rsid w:val="00973720"/>
    <w:rsid w:val="009D26F1"/>
    <w:rsid w:val="009D6EEC"/>
    <w:rsid w:val="009E4D65"/>
    <w:rsid w:val="009F0D11"/>
    <w:rsid w:val="00A24E2A"/>
    <w:rsid w:val="00A33A5A"/>
    <w:rsid w:val="00A62366"/>
    <w:rsid w:val="00A805C9"/>
    <w:rsid w:val="00A96143"/>
    <w:rsid w:val="00AB6685"/>
    <w:rsid w:val="00B21CB7"/>
    <w:rsid w:val="00C178CF"/>
    <w:rsid w:val="00C6772D"/>
    <w:rsid w:val="00C715B4"/>
    <w:rsid w:val="00C93292"/>
    <w:rsid w:val="00CA5BAD"/>
    <w:rsid w:val="00CD54A8"/>
    <w:rsid w:val="00CE3009"/>
    <w:rsid w:val="00D0589A"/>
    <w:rsid w:val="00D63B28"/>
    <w:rsid w:val="00D82B63"/>
    <w:rsid w:val="00D969D4"/>
    <w:rsid w:val="00DD0851"/>
    <w:rsid w:val="00DE0847"/>
    <w:rsid w:val="00E00E45"/>
    <w:rsid w:val="00E12C53"/>
    <w:rsid w:val="00E13B4B"/>
    <w:rsid w:val="00E1564D"/>
    <w:rsid w:val="00E43641"/>
    <w:rsid w:val="00E91223"/>
    <w:rsid w:val="00EC04C3"/>
    <w:rsid w:val="00EC6824"/>
    <w:rsid w:val="00EE45EA"/>
    <w:rsid w:val="00EF169F"/>
    <w:rsid w:val="00FC2DA3"/>
    <w:rsid w:val="00FE15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F74F2"/>
  <w15:chartTrackingRefBased/>
  <w15:docId w15:val="{D09A26F0-5B22-4F80-9FAF-F551F44A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BA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5BAD"/>
    <w:pPr>
      <w:tabs>
        <w:tab w:val="center" w:pos="4680"/>
        <w:tab w:val="right" w:pos="9360"/>
      </w:tabs>
    </w:pPr>
  </w:style>
  <w:style w:type="character" w:customStyle="1" w:styleId="a4">
    <w:name w:val="כותרת עליונה תו"/>
    <w:basedOn w:val="a0"/>
    <w:link w:val="a3"/>
    <w:uiPriority w:val="99"/>
    <w:rsid w:val="00CA5BAD"/>
    <w:rPr>
      <w:rFonts w:ascii="Calibri" w:eastAsia="Calibri" w:hAnsi="Calibri" w:cs="Arial"/>
    </w:rPr>
  </w:style>
  <w:style w:type="paragraph" w:styleId="a5">
    <w:name w:val="footer"/>
    <w:basedOn w:val="a"/>
    <w:link w:val="a6"/>
    <w:uiPriority w:val="99"/>
    <w:unhideWhenUsed/>
    <w:rsid w:val="00CA5BAD"/>
    <w:pPr>
      <w:tabs>
        <w:tab w:val="center" w:pos="4680"/>
        <w:tab w:val="right" w:pos="9360"/>
      </w:tabs>
    </w:pPr>
  </w:style>
  <w:style w:type="character" w:customStyle="1" w:styleId="a6">
    <w:name w:val="כותרת תחתונה תו"/>
    <w:basedOn w:val="a0"/>
    <w:link w:val="a5"/>
    <w:uiPriority w:val="99"/>
    <w:rsid w:val="00CA5BAD"/>
    <w:rPr>
      <w:rFonts w:ascii="Calibri" w:eastAsia="Calibri" w:hAnsi="Calibri" w:cs="Arial"/>
    </w:rPr>
  </w:style>
  <w:style w:type="character" w:styleId="a7">
    <w:name w:val="page number"/>
    <w:basedOn w:val="a0"/>
    <w:uiPriority w:val="99"/>
    <w:semiHidden/>
    <w:unhideWhenUsed/>
    <w:rsid w:val="00CA5BAD"/>
  </w:style>
  <w:style w:type="table" w:styleId="a8">
    <w:name w:val="Table Grid"/>
    <w:basedOn w:val="a1"/>
    <w:uiPriority w:val="39"/>
    <w:rsid w:val="00CA5BA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CA5BAD"/>
    <w:pPr>
      <w:spacing w:after="0" w:line="360" w:lineRule="auto"/>
      <w:ind w:left="720"/>
      <w:contextualSpacing/>
    </w:pPr>
    <w:rPr>
      <w:rFonts w:ascii="Times New Roman" w:eastAsia="Times New Roman" w:hAnsi="Times New Roman" w:cs="David"/>
      <w:sz w:val="24"/>
      <w:szCs w:val="24"/>
    </w:rPr>
  </w:style>
  <w:style w:type="character" w:styleId="Hyperlink">
    <w:name w:val="Hyperlink"/>
    <w:rsid w:val="00CA5BAD"/>
    <w:rPr>
      <w:color w:val="0000FF"/>
      <w:u w:val="single"/>
    </w:rPr>
  </w:style>
  <w:style w:type="paragraph" w:styleId="ab">
    <w:name w:val="footnote text"/>
    <w:aliases w:val="Char,FOOTNOTES,Footnote Text - Sharp,Footnote Text - Sharp Char,Footnote Text - Sharp Char Char,Footnote Text Char Char Char Char Char,Footnote reference,Sharp - Footnote Text,Sharp - Footnote Text1 Char,fn,footnote text,single space"/>
    <w:basedOn w:val="a"/>
    <w:link w:val="ac"/>
    <w:uiPriority w:val="99"/>
    <w:unhideWhenUsed/>
    <w:rsid w:val="00CA5BAD"/>
    <w:pPr>
      <w:spacing w:after="0" w:line="240" w:lineRule="auto"/>
    </w:pPr>
    <w:rPr>
      <w:rFonts w:ascii="Times New Roman" w:eastAsia="Times New Roman" w:hAnsi="Times New Roman" w:cs="David"/>
      <w:sz w:val="20"/>
      <w:szCs w:val="20"/>
    </w:rPr>
  </w:style>
  <w:style w:type="character" w:customStyle="1" w:styleId="ac">
    <w:name w:val="טקסט הערת שוליים תו"/>
    <w:aliases w:val="Char תו,FOOTNOTES תו,Footnote Text - Sharp תו,Footnote Text - Sharp Char תו,Footnote Text - Sharp Char Char תו,Footnote Text Char Char Char Char Char תו,Footnote reference תו,Sharp - Footnote Text תו,Sharp - Footnote Text1 Char תו"/>
    <w:basedOn w:val="a0"/>
    <w:link w:val="ab"/>
    <w:uiPriority w:val="99"/>
    <w:rsid w:val="00CA5BAD"/>
    <w:rPr>
      <w:rFonts w:ascii="Times New Roman" w:eastAsia="Times New Roman" w:hAnsi="Times New Roman" w:cs="David"/>
      <w:sz w:val="20"/>
      <w:szCs w:val="20"/>
    </w:rPr>
  </w:style>
  <w:style w:type="character" w:styleId="ad">
    <w:name w:val="footnote reference"/>
    <w:aliases w:val="Footnote text,Footnote Reference_0,Footnote Reference_0_0,Footnote Reference_0_0_0,Footnote Reference_0_0_0_0,Footnote Reference_1,Footnote Reference_2,Footnote Reference_3,Footnote Reference_3_0,Footnote Reference_4,fr"/>
    <w:unhideWhenUsed/>
    <w:rsid w:val="00CA5BAD"/>
    <w:rPr>
      <w:vertAlign w:val="superscript"/>
    </w:rPr>
  </w:style>
  <w:style w:type="character" w:customStyle="1" w:styleId="aa">
    <w:name w:val="פיסקת רשימה תו"/>
    <w:link w:val="a9"/>
    <w:uiPriority w:val="34"/>
    <w:locked/>
    <w:rsid w:val="00CA5BAD"/>
    <w:rPr>
      <w:rFonts w:ascii="Times New Roman" w:eastAsia="Times New Roman" w:hAnsi="Times New Roman" w:cs="David"/>
      <w:sz w:val="24"/>
      <w:szCs w:val="24"/>
    </w:rPr>
  </w:style>
  <w:style w:type="table" w:customStyle="1" w:styleId="2">
    <w:name w:val="רשת טבלה2"/>
    <w:basedOn w:val="a1"/>
    <w:next w:val="a8"/>
    <w:uiPriority w:val="39"/>
    <w:rsid w:val="00CA5BA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27786D"/>
    <w:pPr>
      <w:spacing w:after="0" w:line="240" w:lineRule="auto"/>
    </w:pPr>
    <w:rPr>
      <w:rFonts w:ascii="Calibri" w:eastAsia="Calibri" w:hAnsi="Calibri" w:cs="Arial"/>
    </w:rPr>
  </w:style>
  <w:style w:type="character" w:styleId="af">
    <w:name w:val="annotation reference"/>
    <w:basedOn w:val="a0"/>
    <w:uiPriority w:val="99"/>
    <w:semiHidden/>
    <w:unhideWhenUsed/>
    <w:rsid w:val="00E43641"/>
    <w:rPr>
      <w:sz w:val="16"/>
      <w:szCs w:val="16"/>
    </w:rPr>
  </w:style>
  <w:style w:type="paragraph" w:styleId="af0">
    <w:name w:val="annotation text"/>
    <w:basedOn w:val="a"/>
    <w:link w:val="af1"/>
    <w:uiPriority w:val="99"/>
    <w:unhideWhenUsed/>
    <w:rsid w:val="00E43641"/>
    <w:pPr>
      <w:spacing w:line="240" w:lineRule="auto"/>
    </w:pPr>
    <w:rPr>
      <w:sz w:val="20"/>
      <w:szCs w:val="20"/>
    </w:rPr>
  </w:style>
  <w:style w:type="character" w:customStyle="1" w:styleId="af1">
    <w:name w:val="טקסט הערה תו"/>
    <w:basedOn w:val="a0"/>
    <w:link w:val="af0"/>
    <w:uiPriority w:val="99"/>
    <w:rsid w:val="00E43641"/>
    <w:rPr>
      <w:rFonts w:ascii="Calibri" w:eastAsia="Calibri" w:hAnsi="Calibri" w:cs="Arial"/>
      <w:sz w:val="20"/>
      <w:szCs w:val="20"/>
    </w:rPr>
  </w:style>
  <w:style w:type="paragraph" w:styleId="af2">
    <w:name w:val="annotation subject"/>
    <w:basedOn w:val="af0"/>
    <w:next w:val="af0"/>
    <w:link w:val="af3"/>
    <w:uiPriority w:val="99"/>
    <w:semiHidden/>
    <w:unhideWhenUsed/>
    <w:rsid w:val="00E43641"/>
    <w:rPr>
      <w:b/>
      <w:bCs/>
    </w:rPr>
  </w:style>
  <w:style w:type="character" w:customStyle="1" w:styleId="af3">
    <w:name w:val="נושא הערה תו"/>
    <w:basedOn w:val="af1"/>
    <w:link w:val="af2"/>
    <w:uiPriority w:val="99"/>
    <w:semiHidden/>
    <w:rsid w:val="00E43641"/>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https://www.rashut2.org.il/%D7%97%D7%93%D7%A9%D7%95%D7%AA-%D7%95%D7%A2%D7%93%D7%9B%D7%95%D7%A0%D7%99%D7%9D/%D7%97%D7%93%D7%A9%D7%95%D7%AA-%D7%95%D7%94%D7%95%D7%93%D7%A2%D7%95%D7%AA-%D7%93%D7%95%D7%91%D7%A8%D7%95%D7%AA/%D7%A8%D7%A9%D7%99%D7%9E%D7%AA-%D7%A2%D7%A8%D7%95%D7%A6%D7%99%D7%9D-%D7%96%D7%A2%D7%99%D7%A8%D7%99%D7%9D%D7%96%D7%A2%D7%99%D7%A8%D7%99%D7%9D-%D7%99%D7%99%D7%A2%D7%95%D7%93%D7%99%D7%99%D7%9D-2023" TargetMode="External"/><Relationship Id="rId1" Type="http://schemas.openxmlformats.org/officeDocument/2006/relationships/hyperlink" Target="https://www-themarker-com.eu1.proxy.openathens.net/news/themedia/2026-04-26/ty-article/.premium/0000019d-c55d-db3c-a1ff-d7fd1e7a00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72002-D648-494D-BD0D-A791B97F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532</Words>
  <Characters>2636</Characters>
  <Application>Microsoft Office Word</Application>
  <DocSecurity>0</DocSecurity>
  <Lines>65</Lines>
  <Paragraphs>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ניצן גור | Nitzan Gur</cp:lastModifiedBy>
  <cp:revision>2</cp:revision>
  <cp:lastPrinted>2026-06-04T12:06:00Z</cp:lastPrinted>
  <dcterms:created xsi:type="dcterms:W3CDTF">2026-06-04T12:08:00Z</dcterms:created>
  <dcterms:modified xsi:type="dcterms:W3CDTF">2026-06-04T12:08:00Z</dcterms:modified>
</cp:coreProperties>
</file>