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9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2409"/>
        <w:gridCol w:w="2410"/>
        <w:gridCol w:w="2548"/>
      </w:tblGrid>
      <w:tr w:rsidR="00635168" w14:paraId="26457C82" w14:textId="77777777" w:rsidTr="009706C6">
        <w:tc>
          <w:tcPr>
            <w:tcW w:w="2139" w:type="dxa"/>
          </w:tcPr>
          <w:p w14:paraId="32147DCC" w14:textId="304CC5C2" w:rsidR="00635168" w:rsidRPr="008811D7" w:rsidRDefault="004D6D37" w:rsidP="00635168">
            <w:pPr>
              <w:spacing w:line="276" w:lineRule="auto"/>
              <w:rPr>
                <w:noProof/>
                <w:sz w:val="24"/>
                <w:szCs w:val="24"/>
                <w:rtl/>
                <w:lang w:val="he-IL"/>
              </w:rPr>
            </w:pPr>
            <w:r w:rsidRPr="008811D7">
              <w:rPr>
                <w:rFonts w:hint="cs"/>
                <w:noProof/>
                <w:sz w:val="24"/>
                <w:szCs w:val="24"/>
                <w:rtl/>
                <w:lang w:val="he-IL"/>
              </w:rPr>
              <w:t>לכבוד</w:t>
            </w:r>
          </w:p>
          <w:p w14:paraId="066576B0" w14:textId="79CB91E7" w:rsidR="008A132C" w:rsidRDefault="008A132C" w:rsidP="00635168">
            <w:pPr>
              <w:spacing w:line="276" w:lineRule="auto"/>
              <w:rPr>
                <w:noProof/>
                <w:rtl/>
                <w:lang w:val="he-IL"/>
              </w:rPr>
            </w:pPr>
          </w:p>
        </w:tc>
        <w:tc>
          <w:tcPr>
            <w:tcW w:w="2409" w:type="dxa"/>
          </w:tcPr>
          <w:p w14:paraId="354749DD" w14:textId="797BF9C3" w:rsidR="00635168" w:rsidRPr="005F5CC8" w:rsidRDefault="00635168" w:rsidP="00635168">
            <w:pPr>
              <w:spacing w:line="276" w:lineRule="auto"/>
              <w:rPr>
                <w:b/>
                <w:bCs/>
                <w:sz w:val="24"/>
                <w:szCs w:val="24"/>
                <w:rtl/>
              </w:rPr>
            </w:pPr>
          </w:p>
        </w:tc>
        <w:tc>
          <w:tcPr>
            <w:tcW w:w="2410" w:type="dxa"/>
          </w:tcPr>
          <w:p w14:paraId="0AE96D05" w14:textId="77777777" w:rsidR="00635168" w:rsidRPr="00A96657" w:rsidRDefault="00635168" w:rsidP="00635168">
            <w:pPr>
              <w:spacing w:after="0" w:line="276" w:lineRule="auto"/>
              <w:rPr>
                <w:rtl/>
              </w:rPr>
            </w:pPr>
          </w:p>
        </w:tc>
        <w:tc>
          <w:tcPr>
            <w:tcW w:w="2548" w:type="dxa"/>
          </w:tcPr>
          <w:p w14:paraId="3808021A" w14:textId="77777777" w:rsidR="00635168" w:rsidRPr="00A96657" w:rsidRDefault="00635168" w:rsidP="00635168">
            <w:pPr>
              <w:spacing w:after="0" w:line="276" w:lineRule="auto"/>
              <w:rPr>
                <w:b/>
                <w:bCs/>
                <w:rtl/>
              </w:rPr>
            </w:pPr>
          </w:p>
        </w:tc>
      </w:tr>
      <w:tr w:rsidR="00635168" w14:paraId="2A354F9C" w14:textId="77777777" w:rsidTr="009706C6">
        <w:tc>
          <w:tcPr>
            <w:tcW w:w="2139" w:type="dxa"/>
          </w:tcPr>
          <w:p w14:paraId="4C59FEFE" w14:textId="688FE90B" w:rsidR="00EB0222" w:rsidRPr="00EB0222" w:rsidRDefault="00EB0222" w:rsidP="00EB0222">
            <w:pPr>
              <w:spacing w:after="0" w:line="276" w:lineRule="auto"/>
              <w:rPr>
                <w:b/>
                <w:bCs/>
                <w:sz w:val="24"/>
                <w:szCs w:val="24"/>
              </w:rPr>
            </w:pPr>
            <w:r w:rsidRPr="00EB0222">
              <w:rPr>
                <w:b/>
                <w:bCs/>
                <w:sz w:val="24"/>
                <w:szCs w:val="24"/>
                <w:rtl/>
              </w:rPr>
              <w:t xml:space="preserve">מר בנימין נתניהו </w:t>
            </w:r>
          </w:p>
          <w:p w14:paraId="74DAA487" w14:textId="77777777" w:rsidR="00EB0222" w:rsidRPr="00EB0222" w:rsidRDefault="00EB0222" w:rsidP="00EB0222">
            <w:pPr>
              <w:spacing w:after="0" w:line="276" w:lineRule="auto"/>
              <w:rPr>
                <w:sz w:val="24"/>
                <w:szCs w:val="24"/>
                <w:rtl/>
              </w:rPr>
            </w:pPr>
            <w:r w:rsidRPr="00EB0222">
              <w:rPr>
                <w:sz w:val="24"/>
                <w:szCs w:val="24"/>
                <w:rtl/>
              </w:rPr>
              <w:t>ראש הממשלה</w:t>
            </w:r>
          </w:p>
          <w:p w14:paraId="3C304975" w14:textId="634F50C6" w:rsidR="00635168" w:rsidRPr="00EB0222" w:rsidRDefault="00EB0222" w:rsidP="00EB0222">
            <w:pPr>
              <w:spacing w:after="0" w:line="276" w:lineRule="auto"/>
              <w:rPr>
                <w:b/>
                <w:bCs/>
                <w:sz w:val="24"/>
                <w:szCs w:val="24"/>
                <w:rtl/>
              </w:rPr>
            </w:pPr>
            <w:r w:rsidRPr="00EB0222">
              <w:rPr>
                <w:sz w:val="24"/>
                <w:szCs w:val="24"/>
                <w:rtl/>
              </w:rPr>
              <w:t>משרד ראש הממשלה</w:t>
            </w:r>
          </w:p>
        </w:tc>
        <w:tc>
          <w:tcPr>
            <w:tcW w:w="2409" w:type="dxa"/>
          </w:tcPr>
          <w:p w14:paraId="0CABA01E" w14:textId="637547CC" w:rsidR="004244C7" w:rsidRDefault="00EB0222" w:rsidP="004244C7">
            <w:pPr>
              <w:spacing w:after="0" w:line="276" w:lineRule="auto"/>
              <w:rPr>
                <w:b/>
                <w:bCs/>
                <w:rtl/>
              </w:rPr>
            </w:pPr>
            <w:r>
              <w:rPr>
                <w:rFonts w:hint="cs"/>
                <w:b/>
                <w:bCs/>
                <w:sz w:val="24"/>
                <w:szCs w:val="24"/>
                <w:rtl/>
              </w:rPr>
              <w:t>מר</w:t>
            </w:r>
            <w:r w:rsidR="004244C7" w:rsidRPr="00635168">
              <w:rPr>
                <w:rFonts w:hint="cs"/>
                <w:b/>
                <w:bCs/>
                <w:sz w:val="24"/>
                <w:szCs w:val="24"/>
                <w:rtl/>
              </w:rPr>
              <w:t xml:space="preserve"> בצלאל סמוטריץ'</w:t>
            </w:r>
          </w:p>
          <w:p w14:paraId="2F2A561F" w14:textId="77777777" w:rsidR="004244C7" w:rsidRDefault="004244C7" w:rsidP="004244C7">
            <w:pPr>
              <w:spacing w:after="0" w:line="276" w:lineRule="auto"/>
              <w:rPr>
                <w:rtl/>
              </w:rPr>
            </w:pPr>
            <w:r w:rsidRPr="00635168">
              <w:rPr>
                <w:rFonts w:hint="cs"/>
                <w:sz w:val="24"/>
                <w:szCs w:val="24"/>
                <w:rtl/>
              </w:rPr>
              <w:t>שר האוצר</w:t>
            </w:r>
          </w:p>
          <w:p w14:paraId="18E78306" w14:textId="0636B816" w:rsidR="00635168" w:rsidRPr="00A96657" w:rsidRDefault="004244C7" w:rsidP="004244C7">
            <w:pPr>
              <w:spacing w:after="0" w:line="276" w:lineRule="auto"/>
              <w:rPr>
                <w:sz w:val="24"/>
                <w:szCs w:val="24"/>
                <w:rtl/>
              </w:rPr>
            </w:pPr>
            <w:r w:rsidRPr="00635168">
              <w:rPr>
                <w:rFonts w:hint="cs"/>
                <w:sz w:val="24"/>
                <w:szCs w:val="24"/>
                <w:rtl/>
              </w:rPr>
              <w:t>משרד האוצר</w:t>
            </w:r>
          </w:p>
        </w:tc>
        <w:tc>
          <w:tcPr>
            <w:tcW w:w="2410" w:type="dxa"/>
          </w:tcPr>
          <w:p w14:paraId="6303A03A" w14:textId="77777777" w:rsidR="00635168" w:rsidRPr="00D66932" w:rsidRDefault="00F200DD" w:rsidP="00635168">
            <w:pPr>
              <w:spacing w:after="0" w:line="276" w:lineRule="auto"/>
              <w:rPr>
                <w:b/>
                <w:bCs/>
                <w:sz w:val="24"/>
                <w:szCs w:val="24"/>
                <w:rtl/>
              </w:rPr>
            </w:pPr>
            <w:r w:rsidRPr="00D66932">
              <w:rPr>
                <w:rFonts w:hint="cs"/>
                <w:b/>
                <w:bCs/>
                <w:sz w:val="24"/>
                <w:szCs w:val="24"/>
                <w:rtl/>
              </w:rPr>
              <w:t>גב' אורית סטרוק</w:t>
            </w:r>
          </w:p>
          <w:p w14:paraId="0A5B2F3F" w14:textId="77777777" w:rsidR="00246680" w:rsidRDefault="00246680" w:rsidP="00635168">
            <w:pPr>
              <w:spacing w:after="0" w:line="276" w:lineRule="auto"/>
              <w:rPr>
                <w:sz w:val="24"/>
                <w:szCs w:val="24"/>
                <w:rtl/>
              </w:rPr>
            </w:pPr>
            <w:r>
              <w:rPr>
                <w:rFonts w:hint="cs"/>
                <w:sz w:val="24"/>
                <w:szCs w:val="24"/>
                <w:rtl/>
              </w:rPr>
              <w:t>שרת ההתיישבות והמשימות הלאומיות</w:t>
            </w:r>
          </w:p>
          <w:p w14:paraId="296B186F" w14:textId="4C0586E3" w:rsidR="00246680" w:rsidRPr="00A96657" w:rsidRDefault="00D66932" w:rsidP="00635168">
            <w:pPr>
              <w:spacing w:after="0" w:line="276" w:lineRule="auto"/>
              <w:rPr>
                <w:sz w:val="24"/>
                <w:szCs w:val="24"/>
                <w:rtl/>
              </w:rPr>
            </w:pPr>
            <w:r>
              <w:rPr>
                <w:rFonts w:hint="cs"/>
                <w:sz w:val="24"/>
                <w:szCs w:val="24"/>
                <w:rtl/>
              </w:rPr>
              <w:t>משרד ראש הממשלה</w:t>
            </w:r>
          </w:p>
        </w:tc>
        <w:tc>
          <w:tcPr>
            <w:tcW w:w="2548" w:type="dxa"/>
          </w:tcPr>
          <w:p w14:paraId="4517938E" w14:textId="6AE03616" w:rsidR="00635168" w:rsidRPr="00A96657" w:rsidRDefault="008A132C" w:rsidP="00635168">
            <w:pPr>
              <w:spacing w:after="0" w:line="276" w:lineRule="auto"/>
              <w:rPr>
                <w:b/>
                <w:bCs/>
                <w:sz w:val="24"/>
                <w:szCs w:val="24"/>
                <w:rtl/>
              </w:rPr>
            </w:pPr>
            <w:r>
              <w:rPr>
                <w:rFonts w:hint="cs"/>
                <w:b/>
                <w:bCs/>
                <w:sz w:val="24"/>
                <w:szCs w:val="24"/>
                <w:rtl/>
              </w:rPr>
              <w:t>עו</w:t>
            </w:r>
            <w:r w:rsidR="00763B7A">
              <w:rPr>
                <w:rFonts w:hint="cs"/>
                <w:b/>
                <w:bCs/>
                <w:sz w:val="24"/>
                <w:szCs w:val="24"/>
                <w:rtl/>
              </w:rPr>
              <w:t>"</w:t>
            </w:r>
            <w:r>
              <w:rPr>
                <w:rFonts w:hint="cs"/>
                <w:b/>
                <w:bCs/>
                <w:sz w:val="24"/>
                <w:szCs w:val="24"/>
                <w:rtl/>
              </w:rPr>
              <w:t xml:space="preserve">ד </w:t>
            </w:r>
            <w:r w:rsidR="00635168" w:rsidRPr="00A96657">
              <w:rPr>
                <w:rFonts w:hint="cs"/>
                <w:b/>
                <w:bCs/>
                <w:sz w:val="24"/>
                <w:szCs w:val="24"/>
                <w:rtl/>
              </w:rPr>
              <w:t>גלי בהרב-מיארה</w:t>
            </w:r>
            <w:r w:rsidR="00635168" w:rsidRPr="00A96657">
              <w:rPr>
                <w:b/>
                <w:bCs/>
                <w:sz w:val="24"/>
                <w:szCs w:val="24"/>
                <w:rtl/>
              </w:rPr>
              <w:tab/>
            </w:r>
          </w:p>
          <w:p w14:paraId="473570AB" w14:textId="77777777" w:rsidR="00635168" w:rsidRDefault="00635168" w:rsidP="00635168">
            <w:pPr>
              <w:spacing w:after="0" w:line="276" w:lineRule="auto"/>
              <w:rPr>
                <w:sz w:val="24"/>
                <w:szCs w:val="24"/>
                <w:rtl/>
              </w:rPr>
            </w:pPr>
            <w:r w:rsidRPr="00A96657">
              <w:rPr>
                <w:rFonts w:hint="cs"/>
                <w:sz w:val="24"/>
                <w:szCs w:val="24"/>
                <w:rtl/>
              </w:rPr>
              <w:t>היועצת המשפטית לממשלה</w:t>
            </w:r>
          </w:p>
          <w:p w14:paraId="049A3023" w14:textId="033B25E3" w:rsidR="00635168" w:rsidRPr="00A96657" w:rsidRDefault="00635168" w:rsidP="00635168">
            <w:pPr>
              <w:spacing w:after="0" w:line="276" w:lineRule="auto"/>
              <w:rPr>
                <w:sz w:val="24"/>
                <w:szCs w:val="24"/>
                <w:rtl/>
              </w:rPr>
            </w:pPr>
            <w:r>
              <w:rPr>
                <w:rFonts w:hint="cs"/>
                <w:sz w:val="24"/>
                <w:szCs w:val="24"/>
                <w:rtl/>
              </w:rPr>
              <w:t>משרד המשפטים</w:t>
            </w:r>
          </w:p>
        </w:tc>
      </w:tr>
      <w:tr w:rsidR="00635168" w14:paraId="3B7CC91A" w14:textId="77777777" w:rsidTr="009706C6">
        <w:tc>
          <w:tcPr>
            <w:tcW w:w="2139" w:type="dxa"/>
          </w:tcPr>
          <w:p w14:paraId="55BA756F" w14:textId="655ACC05" w:rsidR="00635168" w:rsidRPr="00A96657" w:rsidRDefault="00635168" w:rsidP="00635168">
            <w:pPr>
              <w:spacing w:after="0" w:line="276" w:lineRule="auto"/>
              <w:rPr>
                <w:u w:val="single"/>
                <w:rtl/>
              </w:rPr>
            </w:pPr>
            <w:r w:rsidRPr="00A96657">
              <w:rPr>
                <w:rFonts w:hint="cs"/>
                <w:sz w:val="24"/>
                <w:szCs w:val="24"/>
                <w:u w:val="single"/>
                <w:rtl/>
              </w:rPr>
              <w:t>ירושלים</w:t>
            </w:r>
          </w:p>
        </w:tc>
        <w:tc>
          <w:tcPr>
            <w:tcW w:w="2409" w:type="dxa"/>
          </w:tcPr>
          <w:p w14:paraId="7A05FB64" w14:textId="237EE240" w:rsidR="00635168" w:rsidRPr="00A96657" w:rsidRDefault="00635168" w:rsidP="00635168">
            <w:pPr>
              <w:spacing w:after="0" w:line="276" w:lineRule="auto"/>
              <w:rPr>
                <w:rtl/>
              </w:rPr>
            </w:pPr>
            <w:r w:rsidRPr="00A96657">
              <w:rPr>
                <w:rFonts w:hint="cs"/>
                <w:sz w:val="24"/>
                <w:szCs w:val="24"/>
                <w:u w:val="single"/>
                <w:rtl/>
              </w:rPr>
              <w:t>ירושלים</w:t>
            </w:r>
          </w:p>
        </w:tc>
        <w:tc>
          <w:tcPr>
            <w:tcW w:w="2410" w:type="dxa"/>
          </w:tcPr>
          <w:p w14:paraId="528A1D85" w14:textId="7D44CD1C" w:rsidR="00635168" w:rsidRPr="00A96657" w:rsidRDefault="00635168" w:rsidP="00635168">
            <w:pPr>
              <w:spacing w:after="0" w:line="276" w:lineRule="auto"/>
              <w:rPr>
                <w:rtl/>
              </w:rPr>
            </w:pPr>
            <w:r w:rsidRPr="00A96657">
              <w:rPr>
                <w:rFonts w:hint="cs"/>
                <w:sz w:val="24"/>
                <w:szCs w:val="24"/>
                <w:u w:val="single"/>
                <w:rtl/>
              </w:rPr>
              <w:t>ירושלים</w:t>
            </w:r>
          </w:p>
        </w:tc>
        <w:tc>
          <w:tcPr>
            <w:tcW w:w="2548" w:type="dxa"/>
          </w:tcPr>
          <w:p w14:paraId="179B4A44" w14:textId="348B2834" w:rsidR="00635168" w:rsidRPr="00A96657" w:rsidRDefault="00635168" w:rsidP="00635168">
            <w:pPr>
              <w:spacing w:after="0" w:line="276" w:lineRule="auto"/>
              <w:rPr>
                <w:b/>
                <w:bCs/>
                <w:rtl/>
              </w:rPr>
            </w:pPr>
            <w:r w:rsidRPr="00A96657">
              <w:rPr>
                <w:rFonts w:hint="cs"/>
                <w:sz w:val="24"/>
                <w:szCs w:val="24"/>
                <w:u w:val="single"/>
                <w:rtl/>
              </w:rPr>
              <w:t>ירושלים</w:t>
            </w:r>
          </w:p>
        </w:tc>
      </w:tr>
      <w:tr w:rsidR="006B68FA" w14:paraId="58BCCFAE" w14:textId="77777777" w:rsidTr="009706C6">
        <w:tc>
          <w:tcPr>
            <w:tcW w:w="2139" w:type="dxa"/>
          </w:tcPr>
          <w:p w14:paraId="709260C3" w14:textId="77777777" w:rsidR="006B68FA" w:rsidRPr="00A96657" w:rsidRDefault="006B68FA" w:rsidP="00635168">
            <w:pPr>
              <w:spacing w:after="0" w:line="276" w:lineRule="auto"/>
              <w:rPr>
                <w:u w:val="single"/>
                <w:rtl/>
              </w:rPr>
            </w:pPr>
          </w:p>
        </w:tc>
        <w:tc>
          <w:tcPr>
            <w:tcW w:w="2409" w:type="dxa"/>
          </w:tcPr>
          <w:p w14:paraId="3A96FD52" w14:textId="77777777" w:rsidR="006B68FA" w:rsidRPr="00A96657" w:rsidRDefault="006B68FA" w:rsidP="00635168">
            <w:pPr>
              <w:spacing w:after="0" w:line="276" w:lineRule="auto"/>
              <w:rPr>
                <w:u w:val="single"/>
                <w:rtl/>
              </w:rPr>
            </w:pPr>
          </w:p>
        </w:tc>
        <w:tc>
          <w:tcPr>
            <w:tcW w:w="2410" w:type="dxa"/>
          </w:tcPr>
          <w:p w14:paraId="4D80FC98" w14:textId="77777777" w:rsidR="006B68FA" w:rsidRPr="00A96657" w:rsidRDefault="006B68FA" w:rsidP="00635168">
            <w:pPr>
              <w:spacing w:after="0" w:line="276" w:lineRule="auto"/>
              <w:rPr>
                <w:u w:val="single"/>
                <w:rtl/>
              </w:rPr>
            </w:pPr>
          </w:p>
        </w:tc>
        <w:tc>
          <w:tcPr>
            <w:tcW w:w="2548" w:type="dxa"/>
          </w:tcPr>
          <w:p w14:paraId="686729D5" w14:textId="77777777" w:rsidR="006B68FA" w:rsidRPr="00A96657" w:rsidRDefault="006B68FA" w:rsidP="00635168">
            <w:pPr>
              <w:spacing w:after="0" w:line="276" w:lineRule="auto"/>
              <w:rPr>
                <w:u w:val="single"/>
                <w:rtl/>
              </w:rPr>
            </w:pPr>
          </w:p>
        </w:tc>
      </w:tr>
      <w:tr w:rsidR="006B68FA" w14:paraId="09DBC2FB" w14:textId="77777777" w:rsidTr="009706C6">
        <w:tc>
          <w:tcPr>
            <w:tcW w:w="2139" w:type="dxa"/>
          </w:tcPr>
          <w:p w14:paraId="620AC53E" w14:textId="3FEF0D03" w:rsidR="00113FC0" w:rsidRPr="00A96657" w:rsidRDefault="00EB0222" w:rsidP="00113FC0">
            <w:pPr>
              <w:spacing w:after="0" w:line="276" w:lineRule="auto"/>
              <w:rPr>
                <w:b/>
                <w:bCs/>
                <w:sz w:val="24"/>
                <w:szCs w:val="24"/>
                <w:rtl/>
              </w:rPr>
            </w:pPr>
            <w:r>
              <w:rPr>
                <w:rFonts w:hint="cs"/>
                <w:b/>
                <w:bCs/>
                <w:sz w:val="24"/>
                <w:szCs w:val="24"/>
                <w:rtl/>
              </w:rPr>
              <w:t>מר</w:t>
            </w:r>
            <w:r w:rsidR="00113FC0">
              <w:rPr>
                <w:rFonts w:hint="cs"/>
                <w:b/>
                <w:bCs/>
                <w:sz w:val="24"/>
                <w:szCs w:val="24"/>
                <w:rtl/>
              </w:rPr>
              <w:t xml:space="preserve"> חנוך מלביצקי</w:t>
            </w:r>
          </w:p>
          <w:p w14:paraId="523DD4AF" w14:textId="77777777" w:rsidR="00113FC0" w:rsidRDefault="00113FC0" w:rsidP="00113FC0">
            <w:pPr>
              <w:spacing w:after="0" w:line="276" w:lineRule="auto"/>
              <w:rPr>
                <w:sz w:val="24"/>
                <w:szCs w:val="24"/>
                <w:rtl/>
              </w:rPr>
            </w:pPr>
            <w:r>
              <w:rPr>
                <w:rFonts w:hint="cs"/>
                <w:sz w:val="24"/>
                <w:szCs w:val="24"/>
                <w:rtl/>
              </w:rPr>
              <w:t>יו"ר ועדת הכספים</w:t>
            </w:r>
          </w:p>
          <w:p w14:paraId="2A104433" w14:textId="29150C67" w:rsidR="006B68FA" w:rsidRPr="00A96657" w:rsidRDefault="00113FC0" w:rsidP="00113FC0">
            <w:pPr>
              <w:spacing w:after="0" w:line="276" w:lineRule="auto"/>
              <w:rPr>
                <w:u w:val="single"/>
                <w:rtl/>
              </w:rPr>
            </w:pPr>
            <w:r>
              <w:rPr>
                <w:rFonts w:hint="cs"/>
                <w:sz w:val="24"/>
                <w:szCs w:val="24"/>
                <w:rtl/>
              </w:rPr>
              <w:t>כנסת ישראל</w:t>
            </w:r>
          </w:p>
        </w:tc>
        <w:tc>
          <w:tcPr>
            <w:tcW w:w="2409" w:type="dxa"/>
          </w:tcPr>
          <w:p w14:paraId="4A092A6E" w14:textId="77777777" w:rsidR="009706C6" w:rsidRPr="00A96657" w:rsidRDefault="009706C6" w:rsidP="009706C6">
            <w:pPr>
              <w:spacing w:after="0" w:line="276" w:lineRule="auto"/>
              <w:rPr>
                <w:b/>
                <w:bCs/>
                <w:sz w:val="24"/>
                <w:szCs w:val="24"/>
                <w:rtl/>
              </w:rPr>
            </w:pPr>
            <w:r>
              <w:rPr>
                <w:rFonts w:hint="cs"/>
                <w:b/>
                <w:bCs/>
                <w:sz w:val="24"/>
                <w:szCs w:val="24"/>
                <w:rtl/>
              </w:rPr>
              <w:t>עו"ד שגית אפיק</w:t>
            </w:r>
          </w:p>
          <w:p w14:paraId="5CADACC7" w14:textId="77777777" w:rsidR="009706C6" w:rsidRDefault="009706C6" w:rsidP="009706C6">
            <w:pPr>
              <w:spacing w:after="0" w:line="276" w:lineRule="auto"/>
              <w:rPr>
                <w:sz w:val="24"/>
                <w:szCs w:val="24"/>
                <w:rtl/>
              </w:rPr>
            </w:pPr>
            <w:r>
              <w:rPr>
                <w:rFonts w:hint="cs"/>
                <w:sz w:val="24"/>
                <w:szCs w:val="24"/>
                <w:rtl/>
              </w:rPr>
              <w:t>היועצת המשפטית לכנסת</w:t>
            </w:r>
          </w:p>
          <w:p w14:paraId="4D1530B8" w14:textId="0DCA40F0" w:rsidR="006B68FA" w:rsidRPr="00A96657" w:rsidRDefault="009706C6" w:rsidP="009706C6">
            <w:pPr>
              <w:spacing w:after="0" w:line="276" w:lineRule="auto"/>
              <w:rPr>
                <w:u w:val="single"/>
                <w:rtl/>
              </w:rPr>
            </w:pPr>
            <w:r>
              <w:rPr>
                <w:rFonts w:hint="cs"/>
                <w:sz w:val="24"/>
                <w:szCs w:val="24"/>
                <w:rtl/>
              </w:rPr>
              <w:t>כנסת ישראל</w:t>
            </w:r>
          </w:p>
        </w:tc>
        <w:tc>
          <w:tcPr>
            <w:tcW w:w="2410" w:type="dxa"/>
          </w:tcPr>
          <w:p w14:paraId="40FAD4AA" w14:textId="5631A80F" w:rsidR="006B68FA" w:rsidRPr="00A96657" w:rsidRDefault="006B68FA" w:rsidP="00113FC0">
            <w:pPr>
              <w:spacing w:after="0" w:line="276" w:lineRule="auto"/>
              <w:rPr>
                <w:u w:val="single"/>
                <w:rtl/>
              </w:rPr>
            </w:pPr>
          </w:p>
        </w:tc>
        <w:tc>
          <w:tcPr>
            <w:tcW w:w="2548" w:type="dxa"/>
          </w:tcPr>
          <w:p w14:paraId="71BD6515" w14:textId="77777777" w:rsidR="006B68FA" w:rsidRPr="00A96657" w:rsidRDefault="006B68FA" w:rsidP="00635168">
            <w:pPr>
              <w:spacing w:after="0" w:line="276" w:lineRule="auto"/>
              <w:rPr>
                <w:u w:val="single"/>
                <w:rtl/>
              </w:rPr>
            </w:pPr>
          </w:p>
        </w:tc>
      </w:tr>
      <w:tr w:rsidR="009706C6" w14:paraId="0F4F7531" w14:textId="77777777" w:rsidTr="009706C6">
        <w:trPr>
          <w:gridAfter w:val="2"/>
          <w:wAfter w:w="4958" w:type="dxa"/>
        </w:trPr>
        <w:tc>
          <w:tcPr>
            <w:tcW w:w="2139" w:type="dxa"/>
          </w:tcPr>
          <w:p w14:paraId="310817EB" w14:textId="792DF0B8" w:rsidR="009706C6" w:rsidRPr="00A96657" w:rsidRDefault="009706C6" w:rsidP="00635168">
            <w:pPr>
              <w:spacing w:after="0" w:line="276" w:lineRule="auto"/>
              <w:rPr>
                <w:u w:val="single"/>
                <w:rtl/>
              </w:rPr>
            </w:pPr>
            <w:r w:rsidRPr="00A96657">
              <w:rPr>
                <w:rFonts w:hint="cs"/>
                <w:sz w:val="24"/>
                <w:szCs w:val="24"/>
                <w:u w:val="single"/>
                <w:rtl/>
              </w:rPr>
              <w:t>ירושלים</w:t>
            </w:r>
          </w:p>
        </w:tc>
        <w:tc>
          <w:tcPr>
            <w:tcW w:w="2409" w:type="dxa"/>
          </w:tcPr>
          <w:p w14:paraId="1E8A6505" w14:textId="7278B0E9" w:rsidR="009706C6" w:rsidRPr="00A96657" w:rsidRDefault="009706C6" w:rsidP="00635168">
            <w:pPr>
              <w:spacing w:after="0" w:line="276" w:lineRule="auto"/>
              <w:rPr>
                <w:u w:val="single"/>
                <w:rtl/>
              </w:rPr>
            </w:pPr>
            <w:r w:rsidRPr="00A96657">
              <w:rPr>
                <w:rFonts w:hint="cs"/>
                <w:sz w:val="24"/>
                <w:szCs w:val="24"/>
                <w:u w:val="single"/>
                <w:rtl/>
              </w:rPr>
              <w:t>ירושלים</w:t>
            </w:r>
          </w:p>
        </w:tc>
      </w:tr>
    </w:tbl>
    <w:p w14:paraId="505AB959" w14:textId="1CCAF80F" w:rsidR="007B3A12" w:rsidRPr="008F7A3F" w:rsidRDefault="007B3A12" w:rsidP="004134CF">
      <w:pPr>
        <w:rPr>
          <w:sz w:val="14"/>
          <w:szCs w:val="14"/>
          <w:rtl/>
        </w:rPr>
      </w:pPr>
    </w:p>
    <w:p w14:paraId="4C0A38C5" w14:textId="77777777" w:rsidR="00DB1A53" w:rsidRDefault="00DB1A53" w:rsidP="00A96657">
      <w:pPr>
        <w:jc w:val="center"/>
        <w:rPr>
          <w:b/>
          <w:bCs/>
          <w:u w:val="single"/>
          <w:rtl/>
        </w:rPr>
      </w:pPr>
    </w:p>
    <w:p w14:paraId="78B1091B" w14:textId="4EE31D96" w:rsidR="007B3A12" w:rsidRDefault="007B3A12" w:rsidP="00A96657">
      <w:pPr>
        <w:jc w:val="center"/>
        <w:rPr>
          <w:b/>
          <w:bCs/>
          <w:sz w:val="26"/>
          <w:szCs w:val="26"/>
          <w:u w:val="single"/>
          <w:rtl/>
        </w:rPr>
      </w:pPr>
      <w:r w:rsidRPr="008811D7">
        <w:rPr>
          <w:rFonts w:hint="cs"/>
          <w:b/>
          <w:bCs/>
          <w:sz w:val="26"/>
          <w:szCs w:val="26"/>
          <w:u w:val="single"/>
          <w:rtl/>
        </w:rPr>
        <w:t xml:space="preserve">הנדון: </w:t>
      </w:r>
      <w:r w:rsidR="006B68FA" w:rsidRPr="008811D7">
        <w:rPr>
          <w:rFonts w:hint="cs"/>
          <w:b/>
          <w:bCs/>
          <w:sz w:val="26"/>
          <w:szCs w:val="26"/>
          <w:u w:val="single"/>
          <w:rtl/>
        </w:rPr>
        <w:t xml:space="preserve">פגמים </w:t>
      </w:r>
      <w:r w:rsidR="008811D7" w:rsidRPr="008811D7">
        <w:rPr>
          <w:rFonts w:hint="cs"/>
          <w:b/>
          <w:bCs/>
          <w:sz w:val="26"/>
          <w:szCs w:val="26"/>
          <w:u w:val="single"/>
          <w:rtl/>
        </w:rPr>
        <w:t xml:space="preserve">משפטיים </w:t>
      </w:r>
      <w:r w:rsidR="008B5AB9">
        <w:rPr>
          <w:rFonts w:hint="cs"/>
          <w:b/>
          <w:bCs/>
          <w:sz w:val="26"/>
          <w:szCs w:val="26"/>
          <w:u w:val="single"/>
          <w:rtl/>
        </w:rPr>
        <w:t>בשינויים</w:t>
      </w:r>
      <w:r w:rsidR="00635168" w:rsidRPr="008811D7">
        <w:rPr>
          <w:rFonts w:hint="cs"/>
          <w:b/>
          <w:bCs/>
          <w:sz w:val="26"/>
          <w:szCs w:val="26"/>
          <w:u w:val="single"/>
          <w:rtl/>
        </w:rPr>
        <w:t xml:space="preserve"> בתקציב המדינה לשנת 2026</w:t>
      </w:r>
      <w:r w:rsidR="00120DF3">
        <w:rPr>
          <w:rFonts w:hint="cs"/>
          <w:b/>
          <w:bCs/>
          <w:sz w:val="26"/>
          <w:szCs w:val="26"/>
          <w:u w:val="single"/>
          <w:rtl/>
        </w:rPr>
        <w:t xml:space="preserve"> </w:t>
      </w:r>
      <w:r w:rsidR="00120DF3">
        <w:rPr>
          <w:b/>
          <w:bCs/>
          <w:sz w:val="26"/>
          <w:szCs w:val="26"/>
          <w:u w:val="single"/>
          <w:rtl/>
        </w:rPr>
        <w:t>–</w:t>
      </w:r>
      <w:r w:rsidR="00120DF3">
        <w:rPr>
          <w:rFonts w:hint="cs"/>
          <w:b/>
          <w:bCs/>
          <w:sz w:val="26"/>
          <w:szCs w:val="26"/>
          <w:u w:val="single"/>
          <w:rtl/>
        </w:rPr>
        <w:t xml:space="preserve"> העברת כספים קואליציוניים</w:t>
      </w:r>
    </w:p>
    <w:p w14:paraId="27BF5FFF" w14:textId="60F3F2BC" w:rsidR="004148C2" w:rsidRPr="008811D7" w:rsidRDefault="004148C2" w:rsidP="00120DF3">
      <w:pPr>
        <w:jc w:val="center"/>
        <w:rPr>
          <w:b/>
          <w:bCs/>
          <w:sz w:val="26"/>
          <w:szCs w:val="26"/>
          <w:u w:val="single"/>
          <w:rtl/>
        </w:rPr>
      </w:pPr>
      <w:r>
        <w:rPr>
          <w:rFonts w:hint="cs"/>
          <w:b/>
          <w:bCs/>
          <w:sz w:val="26"/>
          <w:szCs w:val="26"/>
          <w:u w:val="single"/>
          <w:rtl/>
        </w:rPr>
        <w:t xml:space="preserve">פניות </w:t>
      </w:r>
      <w:r w:rsidR="00B1360D">
        <w:rPr>
          <w:rFonts w:hint="cs"/>
          <w:b/>
          <w:bCs/>
          <w:sz w:val="26"/>
          <w:szCs w:val="26"/>
          <w:u w:val="single"/>
          <w:rtl/>
        </w:rPr>
        <w:t xml:space="preserve">לוועדת הכספים מספר </w:t>
      </w:r>
      <w:r w:rsidR="00CF47A4">
        <w:rPr>
          <w:rFonts w:hint="cs"/>
          <w:b/>
          <w:bCs/>
          <w:sz w:val="26"/>
          <w:szCs w:val="26"/>
          <w:u w:val="single"/>
          <w:rtl/>
        </w:rPr>
        <w:t>111 - 112</w:t>
      </w:r>
    </w:p>
    <w:p w14:paraId="717E4593" w14:textId="2277C44B" w:rsidR="008811D7" w:rsidRPr="00416F74" w:rsidRDefault="007B0681" w:rsidP="00A96657">
      <w:pPr>
        <w:jc w:val="center"/>
        <w:rPr>
          <w:sz w:val="18"/>
          <w:szCs w:val="18"/>
        </w:rPr>
      </w:pPr>
      <w:r w:rsidRPr="00416F74">
        <w:rPr>
          <w:rFonts w:hint="cs"/>
          <w:sz w:val="20"/>
          <w:szCs w:val="20"/>
          <w:rtl/>
        </w:rPr>
        <w:t>סימוכין: פניי</w:t>
      </w:r>
      <w:r w:rsidR="00953157" w:rsidRPr="00416F74">
        <w:rPr>
          <w:rFonts w:hint="cs"/>
          <w:sz w:val="20"/>
          <w:szCs w:val="20"/>
          <w:rtl/>
        </w:rPr>
        <w:t>ו</w:t>
      </w:r>
      <w:r w:rsidRPr="00416F74">
        <w:rPr>
          <w:rFonts w:hint="cs"/>
          <w:sz w:val="20"/>
          <w:szCs w:val="20"/>
          <w:rtl/>
        </w:rPr>
        <w:t>ת</w:t>
      </w:r>
      <w:r w:rsidR="00953157" w:rsidRPr="00416F74">
        <w:rPr>
          <w:rFonts w:hint="cs"/>
          <w:sz w:val="20"/>
          <w:szCs w:val="20"/>
          <w:rtl/>
        </w:rPr>
        <w:t>י</w:t>
      </w:r>
      <w:r w:rsidRPr="00416F74">
        <w:rPr>
          <w:rFonts w:hint="cs"/>
          <w:sz w:val="20"/>
          <w:szCs w:val="20"/>
          <w:rtl/>
        </w:rPr>
        <w:t xml:space="preserve">נו מיום </w:t>
      </w:r>
      <w:r w:rsidR="00953157" w:rsidRPr="00416F74">
        <w:rPr>
          <w:rFonts w:hint="cs"/>
          <w:sz w:val="20"/>
          <w:szCs w:val="20"/>
          <w:rtl/>
        </w:rPr>
        <w:t>17.5.2026, 2.7.2026</w:t>
      </w:r>
      <w:r w:rsidR="00895FE2">
        <w:rPr>
          <w:rFonts w:hint="cs"/>
          <w:sz w:val="18"/>
          <w:szCs w:val="18"/>
          <w:rtl/>
        </w:rPr>
        <w:t>, 13.7.2026</w:t>
      </w:r>
    </w:p>
    <w:p w14:paraId="12E8FA5E" w14:textId="77777777" w:rsidR="003930E1" w:rsidRDefault="003930E1" w:rsidP="000E3D97">
      <w:pPr>
        <w:jc w:val="center"/>
        <w:rPr>
          <w:rtl/>
        </w:rPr>
      </w:pPr>
    </w:p>
    <w:p w14:paraId="46A411F0" w14:textId="008BEBFD" w:rsidR="00A96657" w:rsidRPr="000E3C61" w:rsidRDefault="00857AF1" w:rsidP="000E3D97">
      <w:pPr>
        <w:jc w:val="center"/>
        <w:rPr>
          <w:rtl/>
        </w:rPr>
      </w:pPr>
      <w:r w:rsidRPr="000E3C61">
        <w:rPr>
          <w:rFonts w:hint="eastAsia"/>
          <w:noProof/>
          <w:rtl/>
          <w:lang w:val="he-IL"/>
        </w:rPr>
        <mc:AlternateContent>
          <mc:Choice Requires="wps">
            <w:drawing>
              <wp:anchor distT="0" distB="0" distL="114300" distR="114300" simplePos="0" relativeHeight="251657728" behindDoc="0" locked="1" layoutInCell="1" allowOverlap="1" wp14:anchorId="4745AB13" wp14:editId="384034D2">
                <wp:simplePos x="0" y="0"/>
                <wp:positionH relativeFrom="margin">
                  <wp:posOffset>-239395</wp:posOffset>
                </wp:positionH>
                <wp:positionV relativeFrom="margin">
                  <wp:align>top</wp:align>
                </wp:positionV>
                <wp:extent cx="2076450" cy="263525"/>
                <wp:effectExtent l="0" t="0" r="0" b="3175"/>
                <wp:wrapThrough wrapText="bothSides">
                  <wp:wrapPolygon edited="0">
                    <wp:start x="0" y="0"/>
                    <wp:lineTo x="0" y="20299"/>
                    <wp:lineTo x="21402" y="20299"/>
                    <wp:lineTo x="21402" y="0"/>
                    <wp:lineTo x="0" y="0"/>
                  </wp:wrapPolygon>
                </wp:wrapThrough>
                <wp:docPr id="433809654" name="Text Box 1"/>
                <wp:cNvGraphicFramePr/>
                <a:graphic xmlns:a="http://schemas.openxmlformats.org/drawingml/2006/main">
                  <a:graphicData uri="http://schemas.microsoft.com/office/word/2010/wordprocessingShape">
                    <wps:wsp>
                      <wps:cNvSpPr txBox="1"/>
                      <wps:spPr>
                        <a:xfrm>
                          <a:off x="0" y="0"/>
                          <a:ext cx="2076450" cy="263525"/>
                        </a:xfrm>
                        <a:prstGeom prst="rect">
                          <a:avLst/>
                        </a:prstGeom>
                        <a:solidFill>
                          <a:schemeClr val="lt1"/>
                        </a:solidFill>
                        <a:ln w="6350">
                          <a:noFill/>
                        </a:ln>
                      </wps:spPr>
                      <wps:txbx>
                        <w:txbxContent>
                          <w:p w14:paraId="7C31532F" w14:textId="1E275253" w:rsidR="00857AF1" w:rsidRDefault="00DB54DD" w:rsidP="00857AF1">
                            <w:r>
                              <w:rPr>
                                <w:rFonts w:hint="cs"/>
                                <w:rtl/>
                              </w:rPr>
                              <w:t xml:space="preserve">20 </w:t>
                            </w:r>
                            <w:r w:rsidR="003A5158">
                              <w:rPr>
                                <w:rtl/>
                              </w:rPr>
                              <w:t>יולי 2026</w:t>
                            </w:r>
                            <w:r w:rsidR="003A5158">
                              <w:rPr>
                                <w:rFonts w:hint="cs"/>
                                <w:rtl/>
                              </w:rPr>
                              <w:t xml:space="preserve">; </w:t>
                            </w:r>
                            <w:r>
                              <w:rPr>
                                <w:rFonts w:hint="eastAsia"/>
                                <w:rtl/>
                              </w:rPr>
                              <w:t>‏ו</w:t>
                            </w:r>
                            <w:r>
                              <w:rPr>
                                <w:rtl/>
                              </w:rPr>
                              <w:t>' אב תשפ"ו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5AB13" id="_x0000_t202" coordsize="21600,21600" o:spt="202" path="m,l,21600r21600,l21600,xe">
                <v:stroke joinstyle="miter"/>
                <v:path gradientshapeok="t" o:connecttype="rect"/>
              </v:shapetype>
              <v:shape id="Text Box 1" o:spid="_x0000_s1026" type="#_x0000_t202" style="position:absolute;left:0;text-align:left;margin-left:-18.85pt;margin-top:0;width:163.5pt;height:20.75pt;z-index:251657728;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" fillcolor="white [3201]" stroked="f" strokeweight=".5pt">
                <v:textbox>
                  <w:txbxContent>
                    <w:p w14:paraId="7C31532F" w14:textId="1E275253" w:rsidR="00857AF1" w:rsidRDefault="00DB54DD" w:rsidP="00857AF1">
                      <w:r>
                        <w:rPr>
                          <w:rFonts w:hint="cs"/>
                          <w:rtl/>
                        </w:rPr>
                        <w:t xml:space="preserve">20 </w:t>
                      </w:r>
                      <w:r w:rsidR="003A5158">
                        <w:rPr>
                          <w:rtl/>
                        </w:rPr>
                        <w:t>יולי 2026</w:t>
                      </w:r>
                      <w:r w:rsidR="003A5158">
                        <w:rPr>
                          <w:rFonts w:hint="cs"/>
                          <w:rtl/>
                        </w:rPr>
                        <w:t xml:space="preserve">; </w:t>
                      </w:r>
                      <w:r>
                        <w:rPr>
                          <w:rFonts w:hint="eastAsia"/>
                          <w:rtl/>
                        </w:rPr>
                        <w:t>‏ו</w:t>
                      </w:r>
                      <w:r>
                        <w:rPr>
                          <w:rtl/>
                        </w:rPr>
                        <w:t>' אב תשפ"ו</w:t>
                      </w:r>
                    </w:p>
                  </w:txbxContent>
                </v:textbox>
                <w10:wrap type="through" anchorx="margin" anchory="margin"/>
                <w10:anchorlock/>
              </v:shape>
            </w:pict>
          </mc:Fallback>
        </mc:AlternateContent>
      </w:r>
      <w:r w:rsidR="00A96657" w:rsidRPr="000E3C61">
        <w:rPr>
          <w:rFonts w:hint="cs"/>
          <w:rtl/>
        </w:rPr>
        <w:t>בשם התנועה למען איכות השלטון בישראל, ע"ר (להלן: "</w:t>
      </w:r>
      <w:r w:rsidR="00A96657" w:rsidRPr="000E3C61">
        <w:rPr>
          <w:rFonts w:hint="cs"/>
          <w:b/>
          <w:bCs/>
          <w:rtl/>
        </w:rPr>
        <w:t>התנועה</w:t>
      </w:r>
      <w:r w:rsidR="00A96657" w:rsidRPr="000E3C61">
        <w:rPr>
          <w:rFonts w:hint="cs"/>
          <w:rtl/>
        </w:rPr>
        <w:t xml:space="preserve">"), אנו מתכבדים לפנות אליכם </w:t>
      </w:r>
      <w:r w:rsidR="00DA697E" w:rsidRPr="000E3C61">
        <w:rPr>
          <w:rFonts w:hint="cs"/>
          <w:rtl/>
        </w:rPr>
        <w:t>כדלהלן:</w:t>
      </w:r>
    </w:p>
    <w:p w14:paraId="3F3A73A4" w14:textId="77777777" w:rsidR="000E3C61" w:rsidRDefault="000E3C61" w:rsidP="000E3D97">
      <w:pPr>
        <w:jc w:val="center"/>
        <w:rPr>
          <w:b/>
          <w:bCs/>
          <w:rtl/>
        </w:rPr>
      </w:pPr>
    </w:p>
    <w:p w14:paraId="5816C321" w14:textId="6136E7C0" w:rsidR="00E30B48" w:rsidRDefault="00E30B48" w:rsidP="00072D84">
      <w:pPr>
        <w:pStyle w:val="a"/>
      </w:pPr>
      <w:r>
        <w:rPr>
          <w:rFonts w:hint="cs"/>
          <w:rtl/>
        </w:rPr>
        <w:t xml:space="preserve">עניינה של פנייה זו </w:t>
      </w:r>
      <w:r w:rsidR="008134D6">
        <w:rPr>
          <w:rFonts w:hint="cs"/>
          <w:rtl/>
        </w:rPr>
        <w:t>ב</w:t>
      </w:r>
      <w:r w:rsidR="002D29F9">
        <w:rPr>
          <w:rFonts w:hint="cs"/>
          <w:rtl/>
        </w:rPr>
        <w:t xml:space="preserve">פגמים משפטיים </w:t>
      </w:r>
      <w:r w:rsidR="008226DD">
        <w:rPr>
          <w:rFonts w:hint="cs"/>
          <w:rtl/>
        </w:rPr>
        <w:t>בהקצאה ובהעברה</w:t>
      </w:r>
      <w:r w:rsidR="004148C2">
        <w:rPr>
          <w:rFonts w:hint="cs"/>
          <w:rtl/>
        </w:rPr>
        <w:t xml:space="preserve"> של</w:t>
      </w:r>
      <w:r w:rsidR="002D29F9">
        <w:rPr>
          <w:rFonts w:hint="cs"/>
          <w:rtl/>
        </w:rPr>
        <w:t xml:space="preserve"> כספים קואליציוניים בתקציב המדינה לשנת 2026 </w:t>
      </w:r>
      <w:r w:rsidR="0052262B">
        <w:rPr>
          <w:rFonts w:hint="cs"/>
          <w:rtl/>
        </w:rPr>
        <w:t>ו</w:t>
      </w:r>
      <w:r w:rsidR="002D29F9">
        <w:rPr>
          <w:rFonts w:hint="cs"/>
          <w:rtl/>
        </w:rPr>
        <w:t>בביצוע התקציב ו</w:t>
      </w:r>
      <w:r w:rsidR="0052262B">
        <w:rPr>
          <w:rFonts w:hint="cs"/>
          <w:rtl/>
        </w:rPr>
        <w:t xml:space="preserve">שינויים בו בניגוד לדין, כפי שמפורט בפנייתנו זו </w:t>
      </w:r>
      <w:r w:rsidR="00106D82">
        <w:rPr>
          <w:rFonts w:hint="cs"/>
          <w:rtl/>
        </w:rPr>
        <w:t>שתכליתה</w:t>
      </w:r>
      <w:r w:rsidR="0052262B">
        <w:rPr>
          <w:rFonts w:hint="cs"/>
          <w:rtl/>
        </w:rPr>
        <w:t xml:space="preserve"> מיצוי הליכים. </w:t>
      </w:r>
    </w:p>
    <w:p w14:paraId="0E13B46E" w14:textId="77777777" w:rsidR="000C7077" w:rsidRDefault="000C7077" w:rsidP="000C7077">
      <w:pPr>
        <w:pStyle w:val="a"/>
        <w:numPr>
          <w:ilvl w:val="0"/>
          <w:numId w:val="0"/>
        </w:numPr>
        <w:rPr>
          <w:rtl/>
        </w:rPr>
      </w:pPr>
    </w:p>
    <w:p w14:paraId="46C1CD49" w14:textId="77777777" w:rsidR="009A0724" w:rsidRPr="009A0724" w:rsidRDefault="008226DD" w:rsidP="009A0724">
      <w:pPr>
        <w:pStyle w:val="a"/>
        <w:rPr>
          <w:b/>
          <w:bCs/>
          <w:color w:val="auto"/>
          <w:u w:val="single"/>
        </w:rPr>
      </w:pPr>
      <w:r>
        <w:rPr>
          <w:rFonts w:hint="cs"/>
          <w:rtl/>
        </w:rPr>
        <w:t xml:space="preserve">בפניותינו שבסימוכין </w:t>
      </w:r>
      <w:r w:rsidR="00E7253B">
        <w:rPr>
          <w:rFonts w:hint="cs"/>
          <w:rtl/>
        </w:rPr>
        <w:t xml:space="preserve">פירטנו את התשתית המשפטית להקצאת כספים קואליציוניים, בין היתר, </w:t>
      </w:r>
      <w:r w:rsidR="00CC3844">
        <w:rPr>
          <w:rFonts w:hint="cs"/>
          <w:rtl/>
        </w:rPr>
        <w:t xml:space="preserve">לפי הנחיית היועמ"שית </w:t>
      </w:r>
      <w:r w:rsidR="00A00A61">
        <w:rPr>
          <w:rFonts w:hint="cs"/>
          <w:rtl/>
        </w:rPr>
        <w:t>1.1801</w:t>
      </w:r>
      <w:r w:rsidR="00E53131">
        <w:rPr>
          <w:rFonts w:hint="cs"/>
          <w:rtl/>
        </w:rPr>
        <w:t xml:space="preserve">. </w:t>
      </w:r>
      <w:r w:rsidR="00FD2A6F">
        <w:rPr>
          <w:rFonts w:hint="cs"/>
          <w:rtl/>
        </w:rPr>
        <w:t>בהנחי</w:t>
      </w:r>
      <w:r w:rsidR="008D0911">
        <w:rPr>
          <w:rFonts w:hint="cs"/>
          <w:rtl/>
        </w:rPr>
        <w:t>ית היועמ</w:t>
      </w:r>
      <w:r w:rsidR="009811C5">
        <w:rPr>
          <w:rFonts w:hint="cs"/>
          <w:rtl/>
        </w:rPr>
        <w:t xml:space="preserve">"שית </w:t>
      </w:r>
      <w:r w:rsidR="00E53131">
        <w:rPr>
          <w:rFonts w:hint="cs"/>
          <w:rtl/>
        </w:rPr>
        <w:t xml:space="preserve">נקבע </w:t>
      </w:r>
      <w:r w:rsidR="00A00A61">
        <w:rPr>
          <w:rFonts w:hint="cs"/>
          <w:rtl/>
        </w:rPr>
        <w:t xml:space="preserve">כי </w:t>
      </w:r>
      <w:r w:rsidR="008F3C98">
        <w:rPr>
          <w:rFonts w:hint="cs"/>
          <w:rtl/>
        </w:rPr>
        <w:t xml:space="preserve">יש </w:t>
      </w:r>
      <w:r w:rsidR="00E53131">
        <w:rPr>
          <w:rFonts w:hint="cs"/>
          <w:rtl/>
        </w:rPr>
        <w:t xml:space="preserve">לייעד </w:t>
      </w:r>
      <w:r w:rsidR="0048607F">
        <w:rPr>
          <w:rFonts w:hint="cs"/>
          <w:rtl/>
        </w:rPr>
        <w:t xml:space="preserve">את </w:t>
      </w:r>
      <w:r w:rsidR="008F3C98">
        <w:rPr>
          <w:rFonts w:hint="cs"/>
          <w:rtl/>
        </w:rPr>
        <w:t xml:space="preserve">הכספים הקואליציוניים </w:t>
      </w:r>
      <w:r w:rsidR="00F6131D">
        <w:rPr>
          <w:rFonts w:hint="cs"/>
          <w:rtl/>
        </w:rPr>
        <w:t xml:space="preserve">בחוק התקציב </w:t>
      </w:r>
      <w:r w:rsidR="001C1122">
        <w:rPr>
          <w:rFonts w:hint="cs"/>
          <w:rtl/>
        </w:rPr>
        <w:t xml:space="preserve">ואין לכלול אותם </w:t>
      </w:r>
      <w:r w:rsidR="00A36860">
        <w:rPr>
          <w:rFonts w:hint="cs"/>
          <w:rtl/>
        </w:rPr>
        <w:t xml:space="preserve"> </w:t>
      </w:r>
      <w:r w:rsidR="00215AFE">
        <w:rPr>
          <w:rFonts w:hint="cs"/>
          <w:rtl/>
        </w:rPr>
        <w:t xml:space="preserve">כסעיפים או תוכניות </w:t>
      </w:r>
      <w:r w:rsidR="00A36860">
        <w:rPr>
          <w:rFonts w:hint="cs"/>
          <w:rtl/>
        </w:rPr>
        <w:t>כלליות אשר יקבע ייעודם בידי הגורמים הפוליטיים לאחר אישור התקציב בכנסת.</w:t>
      </w:r>
      <w:r w:rsidR="00A36860">
        <w:rPr>
          <w:rStyle w:val="FootnoteReference"/>
        </w:rPr>
        <w:footnoteReference w:id="2"/>
      </w:r>
      <w:r w:rsidR="00BD56BA">
        <w:rPr>
          <w:rFonts w:hint="cs"/>
          <w:rtl/>
        </w:rPr>
        <w:t xml:space="preserve"> </w:t>
      </w:r>
    </w:p>
    <w:p w14:paraId="13ED5040" w14:textId="77777777" w:rsidR="009A0724" w:rsidRDefault="009A0724" w:rsidP="009A0724">
      <w:pPr>
        <w:pStyle w:val="ListParagraph"/>
        <w:rPr>
          <w:b/>
          <w:bCs/>
          <w:color w:val="auto"/>
          <w:u w:val="single"/>
          <w:rtl/>
        </w:rPr>
      </w:pPr>
    </w:p>
    <w:p w14:paraId="4C87AE0F" w14:textId="77777777" w:rsidR="003930E1" w:rsidRDefault="003930E1">
      <w:pPr>
        <w:bidi w:val="0"/>
        <w:spacing w:after="0"/>
        <w:rPr>
          <w:rFonts w:ascii="Times New Roman" w:eastAsia="Times New Roman" w:hAnsi="Times New Roman"/>
          <w:b/>
          <w:bCs/>
          <w:color w:val="auto"/>
          <w:u w:val="single"/>
          <w:rtl/>
        </w:rPr>
      </w:pPr>
      <w:r>
        <w:rPr>
          <w:b/>
          <w:bCs/>
          <w:color w:val="auto"/>
          <w:u w:val="single"/>
          <w:rtl/>
        </w:rPr>
        <w:br w:type="page"/>
      </w:r>
    </w:p>
    <w:p w14:paraId="4622502D" w14:textId="0ED99722" w:rsidR="000F1C93" w:rsidRDefault="000F1C93" w:rsidP="00957E06">
      <w:pPr>
        <w:pStyle w:val="a"/>
        <w:numPr>
          <w:ilvl w:val="0"/>
          <w:numId w:val="0"/>
        </w:numPr>
        <w:ind w:left="360"/>
        <w:rPr>
          <w:b/>
          <w:bCs/>
          <w:color w:val="auto"/>
          <w:u w:val="single"/>
        </w:rPr>
      </w:pPr>
      <w:r>
        <w:rPr>
          <w:rFonts w:hint="cs"/>
          <w:b/>
          <w:bCs/>
          <w:color w:val="auto"/>
          <w:u w:val="single"/>
          <w:rtl/>
        </w:rPr>
        <w:lastRenderedPageBreak/>
        <w:t xml:space="preserve">העברת כספים קואליציוניים </w:t>
      </w:r>
      <w:r w:rsidR="009A0724">
        <w:rPr>
          <w:rFonts w:hint="cs"/>
          <w:b/>
          <w:bCs/>
          <w:color w:val="auto"/>
          <w:u w:val="single"/>
          <w:rtl/>
        </w:rPr>
        <w:t xml:space="preserve">"לפי המסלול הירוק" </w:t>
      </w:r>
    </w:p>
    <w:p w14:paraId="63AD682C" w14:textId="77777777" w:rsidR="000F1C93" w:rsidRPr="000F1C93" w:rsidRDefault="000F1C93" w:rsidP="000F1C93">
      <w:pPr>
        <w:pStyle w:val="ListParagraph"/>
        <w:ind w:left="1080"/>
        <w:jc w:val="both"/>
        <w:rPr>
          <w:b/>
          <w:bCs/>
          <w:color w:val="auto"/>
          <w:u w:val="single"/>
        </w:rPr>
      </w:pPr>
    </w:p>
    <w:p w14:paraId="0659AAA9" w14:textId="4B2226A6" w:rsidR="00224328" w:rsidRDefault="00C2654D" w:rsidP="00204F3E">
      <w:pPr>
        <w:pStyle w:val="a"/>
      </w:pPr>
      <w:r>
        <w:rPr>
          <w:rFonts w:hint="cs"/>
          <w:rtl/>
        </w:rPr>
        <w:t xml:space="preserve">מפניות 111 </w:t>
      </w:r>
      <w:r>
        <w:rPr>
          <w:rtl/>
        </w:rPr>
        <w:t>–</w:t>
      </w:r>
      <w:r>
        <w:rPr>
          <w:rFonts w:hint="cs"/>
          <w:rtl/>
        </w:rPr>
        <w:t xml:space="preserve"> 112  המונחות בפני וועדת הכספים עולה בבירור ש</w:t>
      </w:r>
      <w:r w:rsidR="00F22DFF">
        <w:rPr>
          <w:rFonts w:hint="cs"/>
          <w:rtl/>
        </w:rPr>
        <w:t xml:space="preserve">מרבית הכספים הקואליציוניים בפנייה, מעל </w:t>
      </w:r>
      <w:r w:rsidR="00190E48">
        <w:rPr>
          <w:rFonts w:hint="cs"/>
          <w:rtl/>
        </w:rPr>
        <w:t>120</w:t>
      </w:r>
      <w:r w:rsidR="00F22DFF">
        <w:rPr>
          <w:rFonts w:hint="cs"/>
          <w:rtl/>
        </w:rPr>
        <w:t xml:space="preserve"> מיליון ש"ח </w:t>
      </w:r>
      <w:r w:rsidR="00190E48">
        <w:rPr>
          <w:rFonts w:hint="cs"/>
          <w:rtl/>
        </w:rPr>
        <w:t>אושרו ב"מסלול הירוק", דהיינו בטרם ניתנה חוות דעת משפטית בעניינם</w:t>
      </w:r>
      <w:r w:rsidR="00957E06">
        <w:rPr>
          <w:rFonts w:hint="cs"/>
          <w:rtl/>
        </w:rPr>
        <w:t xml:space="preserve"> ובהסתמך על חוות דעת משפטיות קודמות</w:t>
      </w:r>
      <w:r w:rsidR="00190E48">
        <w:rPr>
          <w:rFonts w:hint="cs"/>
          <w:rtl/>
        </w:rPr>
        <w:t xml:space="preserve">. </w:t>
      </w:r>
    </w:p>
    <w:p w14:paraId="2082F4DD" w14:textId="77777777" w:rsidR="003930E1" w:rsidRDefault="003930E1" w:rsidP="003930E1">
      <w:pPr>
        <w:pStyle w:val="a"/>
        <w:numPr>
          <w:ilvl w:val="0"/>
          <w:numId w:val="0"/>
        </w:numPr>
        <w:ind w:left="360"/>
      </w:pPr>
    </w:p>
    <w:p w14:paraId="75C0D534" w14:textId="77777777" w:rsidR="00381209" w:rsidRDefault="00957E06" w:rsidP="00381209">
      <w:pPr>
        <w:pStyle w:val="a"/>
      </w:pPr>
      <w:r>
        <w:rPr>
          <w:rFonts w:hint="cs"/>
          <w:rtl/>
        </w:rPr>
        <w:t>נוהג "המסלול הירוק"</w:t>
      </w:r>
      <w:r w:rsidR="005558B2">
        <w:rPr>
          <w:rFonts w:hint="cs"/>
          <w:rtl/>
        </w:rPr>
        <w:t xml:space="preserve"> שאין לו עיגון ב</w:t>
      </w:r>
      <w:r w:rsidR="002E5AC6">
        <w:rPr>
          <w:rFonts w:hint="cs"/>
          <w:rtl/>
        </w:rPr>
        <w:t xml:space="preserve">דין או בהנחייה מינהלית </w:t>
      </w:r>
      <w:r>
        <w:rPr>
          <w:rFonts w:hint="cs"/>
          <w:rtl/>
        </w:rPr>
        <w:t xml:space="preserve"> </w:t>
      </w:r>
      <w:r w:rsidR="00621D1C">
        <w:rPr>
          <w:rFonts w:hint="cs"/>
          <w:rtl/>
        </w:rPr>
        <w:t xml:space="preserve">עוקף את הפיקוח </w:t>
      </w:r>
      <w:r w:rsidR="00AE5132">
        <w:rPr>
          <w:rFonts w:hint="cs"/>
          <w:rtl/>
        </w:rPr>
        <w:t xml:space="preserve">הפרלמנטרי </w:t>
      </w:r>
      <w:r w:rsidR="00621D1C">
        <w:rPr>
          <w:rFonts w:hint="cs"/>
          <w:rtl/>
        </w:rPr>
        <w:t xml:space="preserve">על העברה של כספים קואליציוניים, כספים השייכים לציבור משלמי המיסים. </w:t>
      </w:r>
      <w:r w:rsidR="00381209" w:rsidRPr="006808F8">
        <w:rPr>
          <w:rFonts w:hint="cs"/>
          <w:color w:val="auto"/>
          <w:rtl/>
        </w:rPr>
        <w:t xml:space="preserve">על תפקיד הפיקוח של ועדת הכספים על תקציב המדינה נקבע כבר </w:t>
      </w:r>
      <w:r w:rsidR="00381209">
        <w:rPr>
          <w:rFonts w:hint="cs"/>
          <w:rtl/>
        </w:rPr>
        <w:t>בעבר כי:</w:t>
      </w:r>
    </w:p>
    <w:p w14:paraId="01C0291A" w14:textId="77777777" w:rsidR="00381209" w:rsidRPr="00552442" w:rsidRDefault="00381209" w:rsidP="00381209">
      <w:pPr>
        <w:pStyle w:val="Quote"/>
        <w:ind w:left="737" w:right="737"/>
      </w:pPr>
      <w:r>
        <w:rPr>
          <w:rFonts w:hint="cs"/>
          <w:rtl/>
        </w:rPr>
        <w:t>"</w:t>
      </w:r>
      <w:r w:rsidRPr="00552442">
        <w:rPr>
          <w:b/>
          <w:bCs/>
          <w:rtl/>
        </w:rPr>
        <w:t>ועדת הכספים אינה אמורה להיות 'חותמת גומי' המאשרת את החלטות שר האוצר ללא הפעלת שיקול דעת עצמאי</w:t>
      </w:r>
      <w:r w:rsidRPr="00E87AA9">
        <w:rPr>
          <w:rtl/>
        </w:rPr>
        <w:t xml:space="preserve"> [...] </w:t>
      </w:r>
      <w:r w:rsidRPr="00552442">
        <w:rPr>
          <w:b/>
          <w:bCs/>
          <w:rtl/>
        </w:rPr>
        <w:t>היא חלק מאמצעי הפיקוח של הכנסת על הממשלה</w:t>
      </w:r>
      <w:r w:rsidRPr="00E87AA9">
        <w:rPr>
          <w:rtl/>
        </w:rPr>
        <w:t xml:space="preserve"> [...] במסגרת הפעלת שיקול דעתה של הוועדה, עליה לבחון את היקפה של ההעברה המבוקשת ואת טיבה</w:t>
      </w:r>
      <w:r w:rsidRPr="00E87AA9">
        <w:t>.</w:t>
      </w:r>
      <w:r w:rsidRPr="00E87AA9">
        <w:rPr>
          <w:rtl/>
        </w:rPr>
        <w:t xml:space="preserve"> מעל לכל, הדיון בוועדת הכספים צריך להיות אפקטיבי, ולשם כך </w:t>
      </w:r>
      <w:r w:rsidRPr="00B53E14">
        <w:rPr>
          <w:b/>
          <w:bCs/>
          <w:rtl/>
        </w:rPr>
        <w:t>על הוועדה לקבל את מלוא המידע הדרוש מבעוד מועד</w:t>
      </w:r>
      <w:r w:rsidRPr="00E87AA9">
        <w:rPr>
          <w:rtl/>
        </w:rPr>
        <w:t xml:space="preserve"> ולגבש כלים מתאימים שיסייעו בידה בנושא</w:t>
      </w:r>
      <w:r>
        <w:rPr>
          <w:rFonts w:hint="cs"/>
          <w:rtl/>
        </w:rPr>
        <w:t xml:space="preserve"> [...] ראשית </w:t>
      </w:r>
      <w:r w:rsidRPr="001E009E">
        <w:rPr>
          <w:rtl/>
        </w:rPr>
        <w:t xml:space="preserve">כאמור לעיל, </w:t>
      </w:r>
      <w:r w:rsidRPr="00552442">
        <w:rPr>
          <w:b/>
          <w:bCs/>
          <w:rtl/>
        </w:rPr>
        <w:t>אין בכוחן של העברות תקציביות לפרוץ את מסגרת התקציב הכוללת או ליצור שינוי רוחבי</w:t>
      </w:r>
      <w:r w:rsidRPr="00552442">
        <w:rPr>
          <w:rFonts w:hint="cs"/>
          <w:b/>
          <w:bCs/>
          <w:rtl/>
        </w:rPr>
        <w:t xml:space="preserve"> ומהותי בתקציב הקיים. שנית, אין מחלוקת כי לא ניתן לבצע העברות תקציביות המשקפות הוצאות צפויות ומתוכננות</w:t>
      </w:r>
      <w:r>
        <w:rPr>
          <w:rFonts w:hint="cs"/>
          <w:rtl/>
        </w:rPr>
        <w:t>."</w:t>
      </w:r>
      <w:r>
        <w:rPr>
          <w:rStyle w:val="FootnoteReference"/>
        </w:rPr>
        <w:footnoteReference w:id="3"/>
      </w:r>
    </w:p>
    <w:p w14:paraId="2290BEF7" w14:textId="43F56BA3" w:rsidR="00957E06" w:rsidRDefault="00724137" w:rsidP="00204F3E">
      <w:pPr>
        <w:pStyle w:val="a"/>
        <w:rPr>
          <w:b/>
          <w:bCs/>
          <w:u w:val="single"/>
        </w:rPr>
      </w:pPr>
      <w:r>
        <w:rPr>
          <w:rFonts w:hint="cs"/>
          <w:rtl/>
        </w:rPr>
        <w:t>בפני</w:t>
      </w:r>
      <w:r w:rsidR="003C38E4">
        <w:rPr>
          <w:rFonts w:hint="cs"/>
          <w:rtl/>
        </w:rPr>
        <w:t xml:space="preserve">ות הנדונות מעוגנת </w:t>
      </w:r>
      <w:r>
        <w:rPr>
          <w:rFonts w:hint="cs"/>
          <w:rtl/>
        </w:rPr>
        <w:t xml:space="preserve">עקיפה כאמור בהיקפים של </w:t>
      </w:r>
      <w:r w:rsidRPr="003C38E4">
        <w:rPr>
          <w:rFonts w:hint="cs"/>
          <w:b/>
          <w:bCs/>
          <w:u w:val="single"/>
          <w:rtl/>
        </w:rPr>
        <w:t>מאות מיליוני שקלים</w:t>
      </w:r>
      <w:r w:rsidR="003C38E4">
        <w:rPr>
          <w:rFonts w:hint="cs"/>
          <w:b/>
          <w:bCs/>
          <w:u w:val="single"/>
          <w:rtl/>
        </w:rPr>
        <w:t>.</w:t>
      </w:r>
    </w:p>
    <w:p w14:paraId="658D4A5A" w14:textId="77777777" w:rsidR="003930E1" w:rsidRDefault="003930E1" w:rsidP="003930E1">
      <w:pPr>
        <w:pStyle w:val="a"/>
        <w:numPr>
          <w:ilvl w:val="0"/>
          <w:numId w:val="0"/>
        </w:numPr>
        <w:ind w:left="360"/>
        <w:rPr>
          <w:b/>
          <w:bCs/>
          <w:u w:val="single"/>
        </w:rPr>
      </w:pPr>
    </w:p>
    <w:p w14:paraId="43803BA1" w14:textId="02D30B67" w:rsidR="003C38E4" w:rsidRPr="00ED643A" w:rsidRDefault="00F45899" w:rsidP="006F0088">
      <w:pPr>
        <w:pStyle w:val="a"/>
      </w:pPr>
      <w:r>
        <w:rPr>
          <w:rFonts w:hint="cs"/>
          <w:rtl/>
        </w:rPr>
        <w:t>כפי שנכתב ב</w:t>
      </w:r>
      <w:r w:rsidR="006F0088" w:rsidRPr="00ED643A">
        <w:rPr>
          <w:rFonts w:hint="cs"/>
          <w:rtl/>
        </w:rPr>
        <w:t xml:space="preserve">מחקרם של </w:t>
      </w:r>
      <w:r w:rsidR="006F0088" w:rsidRPr="00ED643A">
        <w:rPr>
          <w:rtl/>
        </w:rPr>
        <w:t>ד"ר נרי הורוביץ ורוני ברבוי</w:t>
      </w:r>
      <w:r w:rsidR="006F0088" w:rsidRPr="00ED643A">
        <w:rPr>
          <w:rFonts w:hint="cs"/>
          <w:rtl/>
        </w:rPr>
        <w:t xml:space="preserve"> מה</w:t>
      </w:r>
      <w:r w:rsidR="006F0088" w:rsidRPr="00ED643A">
        <w:rPr>
          <w:rtl/>
        </w:rPr>
        <w:t>המכון הישראלי לדמוקרטיה</w:t>
      </w:r>
      <w:r w:rsidR="00381209">
        <w:rPr>
          <w:rFonts w:hint="cs"/>
          <w:rtl/>
        </w:rPr>
        <w:t xml:space="preserve"> המסלול הירוק </w:t>
      </w:r>
      <w:r w:rsidR="00697585">
        <w:rPr>
          <w:rFonts w:hint="cs"/>
          <w:rtl/>
        </w:rPr>
        <w:t xml:space="preserve">מהווה אמצעי לאכיפה של </w:t>
      </w:r>
      <w:r w:rsidR="00697585" w:rsidRPr="00697585">
        <w:rPr>
          <w:rFonts w:hint="cs"/>
          <w:b/>
          <w:bCs/>
          <w:rtl/>
        </w:rPr>
        <w:t>הפיקוח הפרלמנטרי שהוא חובה של חברי הכנסת החברים בוועדה</w:t>
      </w:r>
      <w:r w:rsidR="00A11FE2">
        <w:rPr>
          <w:rStyle w:val="FootnoteReference"/>
          <w:rtl/>
        </w:rPr>
        <w:footnoteReference w:id="4"/>
      </w:r>
      <w:r w:rsidR="00ED643A" w:rsidRPr="00ED643A">
        <w:rPr>
          <w:rFonts w:hint="cs"/>
          <w:rtl/>
        </w:rPr>
        <w:t>:</w:t>
      </w:r>
    </w:p>
    <w:p w14:paraId="487C16C1" w14:textId="350DBA67" w:rsidR="006F0088" w:rsidRPr="00ED643A" w:rsidRDefault="00ED643A" w:rsidP="00ED643A">
      <w:pPr>
        <w:pStyle w:val="a"/>
        <w:numPr>
          <w:ilvl w:val="0"/>
          <w:numId w:val="0"/>
        </w:numPr>
        <w:ind w:left="996" w:right="709"/>
        <w:rPr>
          <w:i/>
          <w:iCs/>
        </w:rPr>
      </w:pPr>
      <w:r w:rsidRPr="00ED643A">
        <w:rPr>
          <w:rFonts w:hint="cs"/>
          <w:i/>
          <w:iCs/>
          <w:rtl/>
        </w:rPr>
        <w:t>"</w:t>
      </w:r>
      <w:r w:rsidR="006F0088" w:rsidRPr="00ED643A">
        <w:rPr>
          <w:i/>
          <w:iCs/>
          <w:rtl/>
        </w:rPr>
        <w:t xml:space="preserve">הדברים משקפים קושי בסיסי בהגדרת משמעותו של הפיקוח הפרלמנטרי המתבצע בוועדת הכספים ובתפקידו של משרד המשפטים. התקציב בכללו, וכספים קואליציוניים הנכללים בו, הם כספי משלם מיסים שיש לברר את המטרות, הביצוע וסדרי העדיפות שהם משקפים. יתר על כן, "נסיבות שהשתנו" הוא מושג סובייקטיבי, והגדרת ההקשר של כסף קואליציוני אינה תפקיד של משרדי המשפטים והאוצר בלבד אלא של נבחרי ציבור. עצם העובדה שיש חילוקי דעות בין משפטנים ממשרד החינוך, משרד המשפטים ומשרד האוצר מלמדים כשלעצמם שאין פרשנות זהה להגדרת נסיבות אובייקטיביות אפילו בתוך </w:t>
      </w:r>
      <w:r w:rsidR="006F0088" w:rsidRPr="00ED643A">
        <w:rPr>
          <w:i/>
          <w:iCs/>
          <w:rtl/>
        </w:rPr>
        <w:lastRenderedPageBreak/>
        <w:t>הממשלה</w:t>
      </w:r>
      <w:r w:rsidR="006F0088" w:rsidRPr="00A11FE2">
        <w:rPr>
          <w:i/>
          <w:iCs/>
          <w:vertAlign w:val="superscript"/>
          <w:rtl/>
        </w:rPr>
        <w:t>6</w:t>
      </w:r>
      <w:r w:rsidR="006F0088" w:rsidRPr="00ED643A">
        <w:rPr>
          <w:i/>
          <w:iCs/>
        </w:rPr>
        <w:t xml:space="preserve">. </w:t>
      </w:r>
      <w:r w:rsidR="006F0088" w:rsidRPr="00ED643A">
        <w:rPr>
          <w:i/>
          <w:iCs/>
          <w:rtl/>
        </w:rPr>
        <w:t>הייעוץ המשפטי הוא שהגדיר את עצם הצורך להגביר את הפיקוח על כספים שמקורם בהסכמים פוליטיים</w:t>
      </w:r>
      <w:r w:rsidR="006F0088" w:rsidRPr="00ED643A">
        <w:rPr>
          <w:i/>
          <w:iCs/>
        </w:rPr>
        <w:t xml:space="preserve">, </w:t>
      </w:r>
      <w:r w:rsidR="006F0088" w:rsidRPr="00ED643A">
        <w:rPr>
          <w:i/>
          <w:iCs/>
          <w:rtl/>
        </w:rPr>
        <w:t>ומשרדי הממשלה מחויבים לבחינה מקצועית, כל אחד בזווית ההתבוננות שלו, אולם אלה אינם יכולים לפטור את נבחרי הציבור מחובת הפיקוח שלהם. וועדת הכספים היא זירה מרכזית שבה יש להביא לדיון ציבורי סעיפים תקציביים פוליטיים ספציפיים ובה ל קבל דין וחשבון על רגולציה וביצוע מפקידות ציבורית. המשולש של בחינה מקצועית, משפטית ושל פיקוח פרלמנטרי אינו יכול לעמוד בלי אף אחת מצלעותיו. הסמכות לקבוע מה ראוי לדיון מעמיק ומה ייחשב בגדר נסיבות שלא השתנו נמצא בליבת העבודה של ועדת הכספים ולא ניתן "לחסוך" לוועדה דיון זה כיוון שהוא מתנהל בזירות נוספות. לפיכך</w:t>
      </w:r>
      <w:r w:rsidR="006F0088" w:rsidRPr="00ED643A">
        <w:rPr>
          <w:i/>
          <w:iCs/>
        </w:rPr>
        <w:t xml:space="preserve">, </w:t>
      </w:r>
      <w:r w:rsidR="006F0088" w:rsidRPr="00ED643A">
        <w:rPr>
          <w:i/>
          <w:iCs/>
          <w:rtl/>
        </w:rPr>
        <w:t>יש לדרוש את ביטול המסלול הירוק לצורך הגדלת השקיפות והביקורת הציבורית על כספים קואליציוניים ולא לצמצם אותם בשם היעילות</w:t>
      </w:r>
      <w:r w:rsidRPr="00ED643A">
        <w:rPr>
          <w:rFonts w:hint="cs"/>
          <w:i/>
          <w:iCs/>
          <w:rtl/>
        </w:rPr>
        <w:t>."</w:t>
      </w:r>
    </w:p>
    <w:p w14:paraId="6903902D" w14:textId="77777777" w:rsidR="008F0DAF" w:rsidRDefault="008F0DAF" w:rsidP="008F0DAF">
      <w:pPr>
        <w:pStyle w:val="a"/>
        <w:numPr>
          <w:ilvl w:val="0"/>
          <w:numId w:val="0"/>
        </w:numPr>
        <w:ind w:left="360"/>
        <w:rPr>
          <w:rtl/>
        </w:rPr>
      </w:pPr>
    </w:p>
    <w:p w14:paraId="616DAD9F" w14:textId="2AFE6F59" w:rsidR="008F0DAF" w:rsidRPr="00E85107" w:rsidRDefault="008F0DAF" w:rsidP="00A32157">
      <w:pPr>
        <w:pStyle w:val="a"/>
        <w:numPr>
          <w:ilvl w:val="0"/>
          <w:numId w:val="0"/>
        </w:numPr>
        <w:ind w:left="360" w:hanging="360"/>
        <w:rPr>
          <w:b/>
          <w:bCs/>
          <w:u w:val="single"/>
          <w:rtl/>
        </w:rPr>
      </w:pPr>
      <w:r w:rsidRPr="00E85107">
        <w:rPr>
          <w:rFonts w:hint="cs"/>
          <w:b/>
          <w:bCs/>
          <w:u w:val="single"/>
          <w:rtl/>
        </w:rPr>
        <w:t xml:space="preserve">חלוקת הכספים </w:t>
      </w:r>
      <w:r w:rsidR="00FC24ED" w:rsidRPr="00E85107">
        <w:rPr>
          <w:rFonts w:hint="cs"/>
          <w:b/>
          <w:bCs/>
          <w:u w:val="single"/>
          <w:rtl/>
        </w:rPr>
        <w:t>הקואליציוניים אינה תומכת במפעלים המיטיבים עם הציבור הרחב</w:t>
      </w:r>
      <w:r w:rsidR="00DB54DD" w:rsidRPr="00E85107">
        <w:rPr>
          <w:rFonts w:hint="cs"/>
          <w:b/>
          <w:bCs/>
          <w:u w:val="single"/>
          <w:rtl/>
        </w:rPr>
        <w:t xml:space="preserve"> בניגוד להנחיית היועצת</w:t>
      </w:r>
    </w:p>
    <w:p w14:paraId="04480359" w14:textId="77777777" w:rsidR="00875694" w:rsidRDefault="00875694" w:rsidP="00A32157">
      <w:pPr>
        <w:pStyle w:val="a"/>
        <w:numPr>
          <w:ilvl w:val="0"/>
          <w:numId w:val="0"/>
        </w:numPr>
        <w:ind w:left="360" w:hanging="360"/>
        <w:rPr>
          <w:b/>
          <w:bCs/>
        </w:rPr>
      </w:pPr>
    </w:p>
    <w:p w14:paraId="5E69698B" w14:textId="77777777" w:rsidR="00476200" w:rsidRDefault="00476200" w:rsidP="00476200">
      <w:pPr>
        <w:pStyle w:val="a"/>
      </w:pPr>
      <w:r>
        <w:rPr>
          <w:rFonts w:hint="cs"/>
          <w:rtl/>
        </w:rPr>
        <w:t>חלוקת כספים המוגדרים ככספים קואליציוניי</w:t>
      </w:r>
      <w:r>
        <w:rPr>
          <w:rFonts w:hint="eastAsia"/>
          <w:rtl/>
        </w:rPr>
        <w:t>ם</w:t>
      </w:r>
      <w:r>
        <w:rPr>
          <w:rFonts w:hint="cs"/>
          <w:rtl/>
        </w:rPr>
        <w:t xml:space="preserve"> כפופה בדין למספר חובות, בהן: תמיכה </w:t>
      </w:r>
      <w:r w:rsidRPr="00697585">
        <w:rPr>
          <w:rFonts w:hint="cs"/>
          <w:b/>
          <w:bCs/>
          <w:rtl/>
        </w:rPr>
        <w:t>ב"מפעלים המיטיבים עם הציבור הרחב</w:t>
      </w:r>
      <w:r>
        <w:rPr>
          <w:rFonts w:hint="cs"/>
          <w:rtl/>
        </w:rPr>
        <w:t>",</w:t>
      </w:r>
      <w:r>
        <w:rPr>
          <w:rStyle w:val="FootnoteReference"/>
          <w:rtl/>
        </w:rPr>
        <w:footnoteReference w:id="5"/>
      </w:r>
      <w:r>
        <w:rPr>
          <w:rFonts w:hint="cs"/>
          <w:rtl/>
        </w:rPr>
        <w:t xml:space="preserve"> חלוקה באופן שוויוני בלבד;</w:t>
      </w:r>
      <w:r>
        <w:rPr>
          <w:rStyle w:val="FootnoteReference"/>
          <w:rtl/>
        </w:rPr>
        <w:footnoteReference w:id="6"/>
      </w:r>
      <w:r>
        <w:rPr>
          <w:rFonts w:hint="cs"/>
          <w:rtl/>
        </w:rPr>
        <w:t xml:space="preserve"> </w:t>
      </w:r>
      <w:r>
        <w:rPr>
          <w:rFonts w:hint="cs"/>
          <w:b/>
          <w:bCs/>
          <w:rtl/>
        </w:rPr>
        <w:t>הימנעות מהכללתם</w:t>
      </w:r>
      <w:r w:rsidRPr="003330D6">
        <w:rPr>
          <w:rFonts w:hint="cs"/>
          <w:b/>
          <w:bCs/>
          <w:rtl/>
        </w:rPr>
        <w:t xml:space="preserve"> לבסיס התקציב</w:t>
      </w:r>
      <w:r>
        <w:rPr>
          <w:rFonts w:hint="cs"/>
          <w:rtl/>
        </w:rPr>
        <w:t>;</w:t>
      </w:r>
      <w:r>
        <w:rPr>
          <w:rStyle w:val="FootnoteReference"/>
          <w:rtl/>
        </w:rPr>
        <w:footnoteReference w:id="7"/>
      </w:r>
      <w:r>
        <w:rPr>
          <w:rFonts w:hint="cs"/>
          <w:rtl/>
        </w:rPr>
        <w:t xml:space="preserve"> </w:t>
      </w:r>
      <w:r w:rsidRPr="006272F7">
        <w:rPr>
          <w:rFonts w:hint="cs"/>
          <w:b/>
          <w:bCs/>
          <w:rtl/>
        </w:rPr>
        <w:t>ואי הותרתו בתכניות</w:t>
      </w:r>
      <w:r>
        <w:rPr>
          <w:rStyle w:val="FootnoteReference"/>
          <w:rtl/>
        </w:rPr>
        <w:footnoteReference w:id="8"/>
      </w:r>
      <w:r>
        <w:rPr>
          <w:rFonts w:hint="cs"/>
          <w:rtl/>
        </w:rPr>
        <w:t xml:space="preserve"> </w:t>
      </w:r>
      <w:r w:rsidRPr="006272F7">
        <w:rPr>
          <w:rFonts w:hint="cs"/>
          <w:b/>
          <w:bCs/>
          <w:rtl/>
        </w:rPr>
        <w:t>כלליות לשם קביעת ייעודם בידי גורמים פוליטיי</w:t>
      </w:r>
      <w:r w:rsidRPr="006272F7">
        <w:rPr>
          <w:rFonts w:hint="eastAsia"/>
          <w:b/>
          <w:bCs/>
          <w:rtl/>
        </w:rPr>
        <w:t>ם</w:t>
      </w:r>
      <w:r>
        <w:rPr>
          <w:rFonts w:hint="cs"/>
          <w:rtl/>
        </w:rPr>
        <w:t xml:space="preserve"> במהלך שנת התקציב;</w:t>
      </w:r>
      <w:r>
        <w:rPr>
          <w:rStyle w:val="FootnoteReference"/>
          <w:rtl/>
        </w:rPr>
        <w:footnoteReference w:id="9"/>
      </w:r>
      <w:r>
        <w:rPr>
          <w:rFonts w:hint="cs"/>
          <w:rtl/>
        </w:rPr>
        <w:t xml:space="preserve"> ועוד. </w:t>
      </w:r>
    </w:p>
    <w:p w14:paraId="07D5B848" w14:textId="77777777" w:rsidR="00476200" w:rsidRDefault="00476200" w:rsidP="00476200">
      <w:pPr>
        <w:pStyle w:val="a"/>
        <w:numPr>
          <w:ilvl w:val="0"/>
          <w:numId w:val="0"/>
        </w:numPr>
        <w:ind w:left="360"/>
      </w:pPr>
    </w:p>
    <w:p w14:paraId="4A09E001" w14:textId="18BD61DF" w:rsidR="00672385" w:rsidRDefault="00DB492A" w:rsidP="00693865">
      <w:pPr>
        <w:pStyle w:val="a"/>
      </w:pPr>
      <w:r>
        <w:rPr>
          <w:rFonts w:hint="cs"/>
          <w:b/>
          <w:bCs/>
          <w:rtl/>
        </w:rPr>
        <w:t xml:space="preserve">הכספים המועברים בפניות 111 </w:t>
      </w:r>
      <w:r w:rsidR="00697585">
        <w:rPr>
          <w:b/>
          <w:bCs/>
          <w:rtl/>
        </w:rPr>
        <w:t>–</w:t>
      </w:r>
      <w:r w:rsidR="00697585">
        <w:rPr>
          <w:rFonts w:hint="cs"/>
          <w:b/>
          <w:bCs/>
          <w:rtl/>
        </w:rPr>
        <w:t xml:space="preserve"> 112 </w:t>
      </w:r>
      <w:r w:rsidR="00A27DBB">
        <w:rPr>
          <w:rFonts w:hint="cs"/>
          <w:b/>
          <w:bCs/>
          <w:rtl/>
        </w:rPr>
        <w:t>אינם תומכים "</w:t>
      </w:r>
      <w:r w:rsidR="005B0F56" w:rsidRPr="005B0F56">
        <w:rPr>
          <w:rFonts w:hint="cs"/>
          <w:b/>
          <w:bCs/>
          <w:rtl/>
        </w:rPr>
        <w:t>במפעלים המיטיבים עם הציבור הרחב", או "באופן שוויוני בלבד" כלשון הנחיית היועמ"ש</w:t>
      </w:r>
      <w:r w:rsidR="005B0F56">
        <w:rPr>
          <w:rFonts w:hint="cs"/>
          <w:rtl/>
        </w:rPr>
        <w:t xml:space="preserve">. </w:t>
      </w:r>
      <w:r w:rsidR="002B36A7">
        <w:rPr>
          <w:rFonts w:hint="cs"/>
          <w:rtl/>
        </w:rPr>
        <w:t>נהפוך הוא</w:t>
      </w:r>
      <w:r w:rsidR="005B0F56">
        <w:rPr>
          <w:rFonts w:hint="cs"/>
          <w:rtl/>
        </w:rPr>
        <w:t xml:space="preserve">, מרבית הכספים מיועדים לתמיכה בסקטורים המזוהים פוליטית עם הקואליציה, בדגש על הטבות </w:t>
      </w:r>
      <w:r w:rsidR="002B36A7">
        <w:rPr>
          <w:rFonts w:hint="cs"/>
          <w:rtl/>
        </w:rPr>
        <w:t>המיועדות למפלגת</w:t>
      </w:r>
      <w:r w:rsidR="00A32157">
        <w:rPr>
          <w:rFonts w:hint="cs"/>
          <w:rtl/>
        </w:rPr>
        <w:t xml:space="preserve">ו של שר האוצר. </w:t>
      </w:r>
    </w:p>
    <w:p w14:paraId="1A91F9E3" w14:textId="77777777" w:rsidR="00AF186F" w:rsidRDefault="00AF186F" w:rsidP="00AF186F">
      <w:pPr>
        <w:pStyle w:val="ListParagraph"/>
        <w:rPr>
          <w:rtl/>
        </w:rPr>
      </w:pPr>
    </w:p>
    <w:p w14:paraId="3F4A259E" w14:textId="534311C8" w:rsidR="00AF186F" w:rsidRDefault="00DB54DD" w:rsidP="00693865">
      <w:pPr>
        <w:pStyle w:val="a"/>
      </w:pPr>
      <w:r>
        <w:rPr>
          <w:rFonts w:hint="cs"/>
          <w:rtl/>
        </w:rPr>
        <w:t xml:space="preserve">חוות הדעת המשפטית שצורפה לבקשה אינה מפרטת כיצד ההעברה עומדת בתנאי ההנחייה. </w:t>
      </w:r>
      <w:r w:rsidR="00E85107">
        <w:rPr>
          <w:rFonts w:hint="cs"/>
          <w:rtl/>
        </w:rPr>
        <w:t>ראשית, חוות הדעת מפנה לחוות דעת קודמות שלא צורפו</w:t>
      </w:r>
      <w:r w:rsidR="00FF6376">
        <w:rPr>
          <w:rFonts w:hint="cs"/>
          <w:rtl/>
        </w:rPr>
        <w:t xml:space="preserve"> לבקשה. שנית, </w:t>
      </w:r>
      <w:r w:rsidR="002215C2">
        <w:rPr>
          <w:rFonts w:hint="cs"/>
          <w:rtl/>
        </w:rPr>
        <w:t xml:space="preserve">ההנחייה אינה מפרטת כיצד הכספים אינם </w:t>
      </w:r>
      <w:r w:rsidR="00D15B1C">
        <w:rPr>
          <w:rFonts w:hint="cs"/>
          <w:rtl/>
        </w:rPr>
        <w:t>מיועדים לגופים מסוימים או מספר מועט של גופים</w:t>
      </w:r>
      <w:r w:rsidR="00FF6376">
        <w:rPr>
          <w:rFonts w:hint="cs"/>
          <w:rtl/>
        </w:rPr>
        <w:t xml:space="preserve"> ו</w:t>
      </w:r>
      <w:r w:rsidR="00390C17">
        <w:rPr>
          <w:rFonts w:hint="cs"/>
          <w:rtl/>
        </w:rPr>
        <w:t xml:space="preserve">האם נמנע הניצול לרעה של ההקצאה. </w:t>
      </w:r>
      <w:r w:rsidR="00FF6376">
        <w:rPr>
          <w:rFonts w:hint="cs"/>
          <w:rtl/>
        </w:rPr>
        <w:t>שלישית,</w:t>
      </w:r>
      <w:r w:rsidR="00390C17">
        <w:rPr>
          <w:rFonts w:hint="cs"/>
          <w:rtl/>
        </w:rPr>
        <w:t xml:space="preserve"> אין התייחסות בחוות הדעת האם הכספים מגיעים לפעילות חוקית </w:t>
      </w:r>
      <w:r w:rsidR="000A4084">
        <w:rPr>
          <w:rFonts w:hint="cs"/>
          <w:rtl/>
        </w:rPr>
        <w:t>ומהי טיבה. כמו כן אין בחוות הדעת כל פירוט מעבר לאמור בבקשה למה מיועדים הכספים, כיצד הם מנוצלים ומי הם הגופים הנהנים מהם</w:t>
      </w:r>
      <w:r w:rsidR="00FF6376">
        <w:rPr>
          <w:rFonts w:hint="cs"/>
          <w:rtl/>
        </w:rPr>
        <w:t xml:space="preserve"> ונראה </w:t>
      </w:r>
      <w:r w:rsidR="00FF6376">
        <w:rPr>
          <w:rFonts w:hint="cs"/>
          <w:rtl/>
        </w:rPr>
        <w:lastRenderedPageBreak/>
        <w:t>לכאורה שהחלוקה לסעיפים שכל אחד מהם מקבל מעל 35 מיליון ש"ח היא שרירותית</w:t>
      </w:r>
      <w:r w:rsidR="00E0010F">
        <w:rPr>
          <w:rFonts w:hint="cs"/>
          <w:rtl/>
        </w:rPr>
        <w:t xml:space="preserve"> ולא ברורה ההבחנה </w:t>
      </w:r>
      <w:r w:rsidR="00DA0CEB">
        <w:rPr>
          <w:rFonts w:hint="cs"/>
          <w:rtl/>
        </w:rPr>
        <w:t>ה</w:t>
      </w:r>
      <w:r w:rsidR="00E0010F">
        <w:rPr>
          <w:rFonts w:hint="cs"/>
          <w:rtl/>
        </w:rPr>
        <w:t xml:space="preserve">מדרשות </w:t>
      </w:r>
      <w:r w:rsidR="00DA0CEB">
        <w:rPr>
          <w:rFonts w:hint="cs"/>
          <w:rtl/>
        </w:rPr>
        <w:t xml:space="preserve">ליהדות </w:t>
      </w:r>
      <w:r w:rsidR="00E0010F">
        <w:rPr>
          <w:rFonts w:hint="cs"/>
          <w:rtl/>
        </w:rPr>
        <w:t xml:space="preserve">לבין </w:t>
      </w:r>
      <w:r w:rsidR="00DA0CEB">
        <w:rPr>
          <w:rFonts w:hint="cs"/>
          <w:rtl/>
        </w:rPr>
        <w:t>המרכזים להעמקת החינוך היהודי</w:t>
      </w:r>
      <w:r w:rsidR="000A4084">
        <w:rPr>
          <w:rFonts w:hint="cs"/>
          <w:rtl/>
        </w:rPr>
        <w:t xml:space="preserve">. </w:t>
      </w:r>
      <w:r w:rsidR="00E85107">
        <w:rPr>
          <w:rFonts w:hint="cs"/>
          <w:rtl/>
        </w:rPr>
        <w:t xml:space="preserve">אין כל התייחסות </w:t>
      </w:r>
      <w:r w:rsidR="001447D3">
        <w:rPr>
          <w:rFonts w:hint="cs"/>
          <w:rtl/>
        </w:rPr>
        <w:t>של גורם מקצועי משרדי</w:t>
      </w:r>
      <w:r w:rsidR="00E85107">
        <w:rPr>
          <w:rFonts w:hint="cs"/>
          <w:rtl/>
        </w:rPr>
        <w:t xml:space="preserve"> לצורך בכספים</w:t>
      </w:r>
      <w:r w:rsidR="001447D3">
        <w:rPr>
          <w:rFonts w:hint="cs"/>
          <w:rtl/>
        </w:rPr>
        <w:t>,</w:t>
      </w:r>
      <w:r w:rsidR="00E85107">
        <w:rPr>
          <w:rFonts w:hint="cs"/>
          <w:rtl/>
        </w:rPr>
        <w:t xml:space="preserve"> </w:t>
      </w:r>
      <w:r w:rsidR="001447D3">
        <w:rPr>
          <w:rFonts w:hint="cs"/>
          <w:rtl/>
        </w:rPr>
        <w:t>לשימוש הצפוי בהם ו</w:t>
      </w:r>
      <w:r w:rsidR="00E85107">
        <w:rPr>
          <w:rFonts w:hint="cs"/>
          <w:rtl/>
        </w:rPr>
        <w:t xml:space="preserve">לאופן חלוקתו. </w:t>
      </w:r>
      <w:r w:rsidR="005E54A0">
        <w:rPr>
          <w:rFonts w:hint="cs"/>
          <w:rtl/>
        </w:rPr>
        <w:t>כך, למשל, לעניין התקציב לרשויות לא ברור מי הם הרשויות הנתמכות ו</w:t>
      </w:r>
      <w:r w:rsidR="004578C0">
        <w:rPr>
          <w:rFonts w:hint="cs"/>
          <w:rtl/>
        </w:rPr>
        <w:t xml:space="preserve">עבור </w:t>
      </w:r>
      <w:r w:rsidR="005E54A0">
        <w:rPr>
          <w:rFonts w:hint="cs"/>
          <w:rtl/>
        </w:rPr>
        <w:t xml:space="preserve">איזה פרויקטים </w:t>
      </w:r>
      <w:r w:rsidR="004578C0">
        <w:rPr>
          <w:rFonts w:hint="cs"/>
          <w:rtl/>
        </w:rPr>
        <w:t xml:space="preserve">מיועדת </w:t>
      </w:r>
      <w:r w:rsidR="005E54A0">
        <w:rPr>
          <w:rFonts w:hint="cs"/>
          <w:rtl/>
        </w:rPr>
        <w:t xml:space="preserve">התמיכה. </w:t>
      </w:r>
      <w:r w:rsidR="004578C0">
        <w:rPr>
          <w:rFonts w:hint="cs"/>
          <w:rtl/>
        </w:rPr>
        <w:t xml:space="preserve">עוד עולה מחוות הדעת שחלק מהכספים הקואליציוניים </w:t>
      </w:r>
      <w:r w:rsidR="00C13B87">
        <w:rPr>
          <w:rFonts w:hint="cs"/>
          <w:rtl/>
        </w:rPr>
        <w:t xml:space="preserve">לרשויות </w:t>
      </w:r>
      <w:r w:rsidR="005B64C6">
        <w:rPr>
          <w:rFonts w:hint="cs"/>
          <w:rtl/>
        </w:rPr>
        <w:t>נכנסו לבסיס התקציב וזאת בניגוד ל</w:t>
      </w:r>
      <w:r w:rsidR="000314C6">
        <w:rPr>
          <w:rFonts w:hint="cs"/>
          <w:rtl/>
        </w:rPr>
        <w:t xml:space="preserve">הנחיית היועצת המחייבת </w:t>
      </w:r>
      <w:r w:rsidR="009619EA">
        <w:rPr>
          <w:rFonts w:hint="cs"/>
          <w:rtl/>
        </w:rPr>
        <w:t>את הבטחת התקינות המשפטית והמקצועית של ההקצאה לפי סעיף 38 לאותה הנחייה.</w:t>
      </w:r>
    </w:p>
    <w:p w14:paraId="7EA2C23D" w14:textId="77777777" w:rsidR="00457544" w:rsidRDefault="00457544" w:rsidP="00457544">
      <w:pPr>
        <w:pStyle w:val="ListParagraph"/>
        <w:rPr>
          <w:rFonts w:hint="cs"/>
          <w:rtl/>
        </w:rPr>
      </w:pPr>
    </w:p>
    <w:p w14:paraId="2A043645" w14:textId="79E32755" w:rsidR="00457544" w:rsidRDefault="00457544" w:rsidP="00D326D7">
      <w:pPr>
        <w:pStyle w:val="a"/>
      </w:pPr>
      <w:r>
        <w:rPr>
          <w:rFonts w:hint="cs"/>
          <w:rtl/>
        </w:rPr>
        <w:t xml:space="preserve">מהטבלה שבחוות הדעת עולה שבניגוד להחלטת הממשלה 3971 </w:t>
      </w:r>
      <w:r w:rsidR="004524B9">
        <w:rPr>
          <w:rFonts w:hint="cs"/>
          <w:rtl/>
        </w:rPr>
        <w:t xml:space="preserve">מיום 10.3.2026 עליה נסמכת ההקצאה, שונתה ההקצאה בין הסעיפים השונים מזו המופיעה בהחלטה. כך למשל, </w:t>
      </w:r>
      <w:r w:rsidR="004204ED">
        <w:rPr>
          <w:rFonts w:hint="cs"/>
          <w:rtl/>
        </w:rPr>
        <w:t>ההקצאה למדרשות נלקחה משני מקורות שונים ונרשמה כ"</w:t>
      </w:r>
      <w:r w:rsidR="004204ED" w:rsidRPr="004204ED">
        <w:rPr>
          <w:rtl/>
        </w:rPr>
        <w:t>מדרשות ליהדות וללימודי ארץ ישראל + חלק נוסף מ"תרבות יהודית עמותות</w:t>
      </w:r>
      <w:r w:rsidR="004204ED" w:rsidRPr="004204ED">
        <w:t>"</w:t>
      </w:r>
      <w:r w:rsidR="004204ED">
        <w:rPr>
          <w:rFonts w:hint="cs"/>
          <w:rtl/>
        </w:rPr>
        <w:t xml:space="preserve">" </w:t>
      </w:r>
      <w:r w:rsidR="00D326D7">
        <w:rPr>
          <w:rFonts w:hint="cs"/>
          <w:rtl/>
        </w:rPr>
        <w:t>וב</w:t>
      </w:r>
      <w:r w:rsidR="0006317B">
        <w:rPr>
          <w:rFonts w:hint="cs"/>
          <w:rtl/>
        </w:rPr>
        <w:t xml:space="preserve">אופן </w:t>
      </w:r>
      <w:r w:rsidR="00D326D7">
        <w:rPr>
          <w:rFonts w:hint="cs"/>
          <w:rtl/>
        </w:rPr>
        <w:t>דומה ההקצאה למרכזים נלקחה מ"</w:t>
      </w:r>
      <w:r w:rsidR="00D326D7" w:rsidRPr="00D326D7">
        <w:rPr>
          <w:rtl/>
        </w:rPr>
        <w:t>מרכזים להעמקת החינוך היהודי + חלק נוסף מ"תרבות יהודית עמותות</w:t>
      </w:r>
      <w:r w:rsidR="00D326D7">
        <w:rPr>
          <w:rFonts w:hint="cs"/>
          <w:rtl/>
        </w:rPr>
        <w:t xml:space="preserve">"". </w:t>
      </w:r>
      <w:r w:rsidR="003C40D7">
        <w:rPr>
          <w:rFonts w:hint="cs"/>
          <w:rtl/>
        </w:rPr>
        <w:t>לא ברור מחוות הדעת מדוע וכיצד שונתה החלטת הממשלה 3971 במשתמע באמצעות חוות הדעת המשפטית.</w:t>
      </w:r>
    </w:p>
    <w:p w14:paraId="71FB028F" w14:textId="77777777" w:rsidR="003111C3" w:rsidRDefault="003111C3" w:rsidP="003111C3">
      <w:pPr>
        <w:pStyle w:val="ListParagraph"/>
        <w:rPr>
          <w:rFonts w:hint="cs"/>
          <w:rtl/>
        </w:rPr>
      </w:pPr>
    </w:p>
    <w:p w14:paraId="10DC6428" w14:textId="03DA088D" w:rsidR="003111C3" w:rsidRDefault="003111C3" w:rsidP="00D326D7">
      <w:pPr>
        <w:pStyle w:val="a"/>
      </w:pPr>
      <w:r>
        <w:rPr>
          <w:rFonts w:hint="cs"/>
          <w:rtl/>
        </w:rPr>
        <w:t>אלה רק מקצת התהיות העולות מחוות הדעת המשפטית החסרה</w:t>
      </w:r>
      <w:r w:rsidR="00CA2A26">
        <w:rPr>
          <w:rFonts w:hint="cs"/>
          <w:rtl/>
        </w:rPr>
        <w:t>, שאינה תואמת, כאמור, את דרישות הנחיית היועצת.</w:t>
      </w:r>
    </w:p>
    <w:p w14:paraId="0C938E2F" w14:textId="77777777" w:rsidR="00F23D5B" w:rsidRDefault="00F23D5B" w:rsidP="00F23D5B">
      <w:pPr>
        <w:pStyle w:val="ListParagraph"/>
        <w:rPr>
          <w:rtl/>
        </w:rPr>
      </w:pPr>
    </w:p>
    <w:p w14:paraId="3E61804B" w14:textId="77777777" w:rsidR="002729BA" w:rsidRDefault="002729BA" w:rsidP="002729BA">
      <w:pPr>
        <w:rPr>
          <w:rtl/>
        </w:rPr>
      </w:pPr>
    </w:p>
    <w:p w14:paraId="6214432A" w14:textId="2562C792" w:rsidR="002729BA" w:rsidRPr="00DE402E" w:rsidRDefault="00215167" w:rsidP="002729BA">
      <w:pPr>
        <w:pStyle w:val="a"/>
        <w:numPr>
          <w:ilvl w:val="0"/>
          <w:numId w:val="0"/>
        </w:numPr>
        <w:ind w:left="360" w:hanging="360"/>
        <w:rPr>
          <w:b/>
          <w:bCs/>
          <w:u w:val="single"/>
        </w:rPr>
      </w:pPr>
      <w:r w:rsidRPr="00DE402E">
        <w:rPr>
          <w:rFonts w:hint="cs"/>
          <w:b/>
          <w:bCs/>
          <w:u w:val="single"/>
          <w:rtl/>
        </w:rPr>
        <w:t xml:space="preserve">הכספים הקואליציוניים הועברו </w:t>
      </w:r>
      <w:r w:rsidR="00A81BBA" w:rsidRPr="00DE402E">
        <w:rPr>
          <w:rFonts w:hint="cs"/>
          <w:b/>
          <w:bCs/>
          <w:u w:val="single"/>
          <w:rtl/>
        </w:rPr>
        <w:t xml:space="preserve">לכאורה </w:t>
      </w:r>
      <w:r w:rsidRPr="00DE402E">
        <w:rPr>
          <w:rFonts w:hint="cs"/>
          <w:b/>
          <w:bCs/>
          <w:u w:val="single"/>
          <w:rtl/>
        </w:rPr>
        <w:t>בניגוד להחלט</w:t>
      </w:r>
      <w:r w:rsidR="00A81BBA" w:rsidRPr="00DE402E">
        <w:rPr>
          <w:rFonts w:hint="cs"/>
          <w:b/>
          <w:bCs/>
          <w:u w:val="single"/>
          <w:rtl/>
        </w:rPr>
        <w:t>ת הממשלה</w:t>
      </w:r>
      <w:r w:rsidRPr="00DE402E">
        <w:rPr>
          <w:rFonts w:hint="cs"/>
          <w:b/>
          <w:bCs/>
          <w:u w:val="single"/>
          <w:rtl/>
        </w:rPr>
        <w:t xml:space="preserve"> על קיצוץ רוחבי</w:t>
      </w:r>
    </w:p>
    <w:p w14:paraId="3347441B" w14:textId="77777777" w:rsidR="00727385" w:rsidRDefault="00727385" w:rsidP="00727385">
      <w:pPr>
        <w:pStyle w:val="ListParagraph"/>
        <w:rPr>
          <w:rtl/>
        </w:rPr>
      </w:pPr>
    </w:p>
    <w:p w14:paraId="4F0B3EFE" w14:textId="2154FC9A" w:rsidR="00476200" w:rsidRDefault="00215167" w:rsidP="00215167">
      <w:pPr>
        <w:pStyle w:val="a"/>
      </w:pPr>
      <w:r>
        <w:rPr>
          <w:rFonts w:hint="cs"/>
          <w:rtl/>
        </w:rPr>
        <w:t>בחוות הדעת המשפטית שצורפה לבקשה צוין בסעיף 14 כך:</w:t>
      </w:r>
    </w:p>
    <w:p w14:paraId="3554FD6F" w14:textId="598EF1F2" w:rsidR="00215167" w:rsidRDefault="00215167" w:rsidP="00215167">
      <w:pPr>
        <w:pStyle w:val="a"/>
        <w:numPr>
          <w:ilvl w:val="0"/>
          <w:numId w:val="0"/>
        </w:numPr>
        <w:ind w:left="360"/>
        <w:rPr>
          <w:rtl/>
        </w:rPr>
      </w:pPr>
      <w:r>
        <w:rPr>
          <w:rFonts w:hint="cs"/>
          <w:rtl/>
        </w:rPr>
        <w:t>"</w:t>
      </w:r>
      <w:r w:rsidRPr="00215167">
        <w:rPr>
          <w:rtl/>
        </w:rPr>
        <w:t>ידוע כי הנתונים לעיל לא מגלמים גם את הקיצוץ הרוחבי שהוחלט עליו בהחלטת ממשלה מס' 3970 מיום 10.3.2026 בשיעור של 3% וכן בהחלטת ממשלה מס' 3940 מיום 1.3.2026 בשיעור 0.1%</w:t>
      </w:r>
      <w:r w:rsidR="00A81BBA">
        <w:rPr>
          <w:rFonts w:hint="cs"/>
          <w:rtl/>
        </w:rPr>
        <w:t>".</w:t>
      </w:r>
    </w:p>
    <w:p w14:paraId="712C409D" w14:textId="77777777" w:rsidR="00A81BBA" w:rsidRDefault="00A81BBA" w:rsidP="00215167">
      <w:pPr>
        <w:pStyle w:val="a"/>
        <w:numPr>
          <w:ilvl w:val="0"/>
          <w:numId w:val="0"/>
        </w:numPr>
        <w:ind w:left="360"/>
        <w:rPr>
          <w:rtl/>
        </w:rPr>
      </w:pPr>
    </w:p>
    <w:p w14:paraId="4CC11A7C" w14:textId="66DB82DB" w:rsidR="00F56F4D" w:rsidRDefault="00A81BBA" w:rsidP="00A81BBA">
      <w:pPr>
        <w:pStyle w:val="a"/>
      </w:pPr>
      <w:r w:rsidRPr="00A81BBA">
        <w:rPr>
          <w:rFonts w:hint="cs"/>
          <w:rtl/>
        </w:rPr>
        <w:t xml:space="preserve">מן האמור </w:t>
      </w:r>
      <w:r w:rsidR="002930A0">
        <w:rPr>
          <w:rFonts w:hint="cs"/>
          <w:rtl/>
        </w:rPr>
        <w:t xml:space="preserve">עולה לכאורה שבניגוד להחלטות הממשלה המצוינות בחוות הדעת המשפטית, הכספים הקואליציוניים </w:t>
      </w:r>
      <w:r w:rsidR="00457F0B">
        <w:rPr>
          <w:rFonts w:hint="cs"/>
          <w:rtl/>
        </w:rPr>
        <w:t xml:space="preserve">לא </w:t>
      </w:r>
      <w:r w:rsidR="002930A0">
        <w:rPr>
          <w:rFonts w:hint="cs"/>
          <w:rtl/>
        </w:rPr>
        <w:t xml:space="preserve">קוצצו </w:t>
      </w:r>
      <w:r w:rsidR="00457F0B">
        <w:rPr>
          <w:rFonts w:hint="cs"/>
          <w:rtl/>
        </w:rPr>
        <w:t xml:space="preserve">בשיעורים הנדרשים באותן החלטות. </w:t>
      </w:r>
      <w:r w:rsidR="00FA1615">
        <w:rPr>
          <w:rFonts w:hint="cs"/>
          <w:rtl/>
        </w:rPr>
        <w:t xml:space="preserve">לפיכך ההקצאה כעת מנוגדת לאותן החלטות ממשלה או לכל הפחות </w:t>
      </w:r>
      <w:r w:rsidR="00696C7C">
        <w:rPr>
          <w:rFonts w:hint="cs"/>
          <w:rtl/>
        </w:rPr>
        <w:t xml:space="preserve">לא ברור </w:t>
      </w:r>
      <w:r w:rsidR="00FA1615">
        <w:rPr>
          <w:rFonts w:hint="cs"/>
          <w:rtl/>
        </w:rPr>
        <w:t>מחוות הדעת המשפטית כיצד היא מתיישבת איתן.</w:t>
      </w:r>
    </w:p>
    <w:p w14:paraId="5385B065" w14:textId="77777777" w:rsidR="00E2563F" w:rsidRDefault="00E2563F" w:rsidP="00E2563F">
      <w:pPr>
        <w:pStyle w:val="a"/>
        <w:numPr>
          <w:ilvl w:val="0"/>
          <w:numId w:val="0"/>
        </w:numPr>
        <w:ind w:left="360"/>
        <w:rPr>
          <w:rtl/>
        </w:rPr>
      </w:pPr>
    </w:p>
    <w:p w14:paraId="363E452D" w14:textId="184EC86A" w:rsidR="00E2563F" w:rsidRPr="00E2563F" w:rsidRDefault="00E2563F" w:rsidP="00E2563F">
      <w:pPr>
        <w:pStyle w:val="a"/>
        <w:numPr>
          <w:ilvl w:val="0"/>
          <w:numId w:val="0"/>
        </w:numPr>
        <w:ind w:left="360"/>
        <w:rPr>
          <w:b/>
          <w:bCs/>
          <w:u w:val="single"/>
        </w:rPr>
      </w:pPr>
      <w:r w:rsidRPr="00E2563F">
        <w:rPr>
          <w:rFonts w:hint="cs"/>
          <w:b/>
          <w:bCs/>
          <w:u w:val="single"/>
          <w:rtl/>
        </w:rPr>
        <w:t>סיכום</w:t>
      </w:r>
    </w:p>
    <w:p w14:paraId="0F802134" w14:textId="77777777" w:rsidR="00A81BBA" w:rsidRPr="00A81BBA" w:rsidRDefault="00A81BBA" w:rsidP="00A81BBA">
      <w:pPr>
        <w:pStyle w:val="a"/>
        <w:numPr>
          <w:ilvl w:val="0"/>
          <w:numId w:val="0"/>
        </w:numPr>
        <w:ind w:left="360"/>
      </w:pPr>
    </w:p>
    <w:p w14:paraId="22ECFB7D" w14:textId="6B5BFB04" w:rsidR="00333744" w:rsidRDefault="00D62468" w:rsidP="00011C53">
      <w:pPr>
        <w:pStyle w:val="a"/>
      </w:pPr>
      <w:r>
        <w:rPr>
          <w:rtl/>
        </w:rPr>
        <w:t xml:space="preserve">פניה זו </w:t>
      </w:r>
      <w:r w:rsidR="00221172">
        <w:rPr>
          <w:rFonts w:hint="cs"/>
          <w:rtl/>
        </w:rPr>
        <w:t xml:space="preserve">נעשית </w:t>
      </w:r>
      <w:r w:rsidRPr="00011C53">
        <w:rPr>
          <w:b/>
          <w:bCs/>
          <w:rtl/>
        </w:rPr>
        <w:t>למיצוי ההליכים</w:t>
      </w:r>
      <w:r>
        <w:rPr>
          <w:rtl/>
        </w:rPr>
        <w:t xml:space="preserve">, מתוך כוונה לתת לכם האפשרות </w:t>
      </w:r>
      <w:r w:rsidR="00884111">
        <w:rPr>
          <w:rFonts w:hint="cs"/>
          <w:rtl/>
        </w:rPr>
        <w:t>לבחון את פעולותיכם</w:t>
      </w:r>
      <w:r w:rsidR="00221172">
        <w:rPr>
          <w:rFonts w:hint="cs"/>
          <w:rtl/>
        </w:rPr>
        <w:t>.</w:t>
      </w:r>
      <w:r w:rsidR="00011C53">
        <w:rPr>
          <w:rFonts w:hint="cs"/>
          <w:rtl/>
        </w:rPr>
        <w:t xml:space="preserve"> לפיכך נבקש</w:t>
      </w:r>
      <w:r>
        <w:rPr>
          <w:rtl/>
        </w:rPr>
        <w:t xml:space="preserve"> לקבל תגובתכם העניינית </w:t>
      </w:r>
      <w:r w:rsidRPr="00221172">
        <w:rPr>
          <w:b/>
          <w:bCs/>
          <w:u w:val="single"/>
          <w:rtl/>
        </w:rPr>
        <w:t>ללא דיחוי</w:t>
      </w:r>
      <w:r>
        <w:rPr>
          <w:rtl/>
        </w:rPr>
        <w:t xml:space="preserve"> בשים לב </w:t>
      </w:r>
      <w:r w:rsidR="00221172">
        <w:rPr>
          <w:rFonts w:hint="cs"/>
          <w:rtl/>
        </w:rPr>
        <w:t>לפניותינו הקודמות בעניין</w:t>
      </w:r>
      <w:r>
        <w:rPr>
          <w:rtl/>
        </w:rPr>
        <w:t xml:space="preserve">. </w:t>
      </w:r>
    </w:p>
    <w:p w14:paraId="4141442E" w14:textId="654141FC" w:rsidR="001F3DCC" w:rsidRDefault="001F3DCC" w:rsidP="001F3DCC">
      <w:pPr>
        <w:pStyle w:val="ListParagraph"/>
        <w:rPr>
          <w:sz w:val="8"/>
          <w:szCs w:val="8"/>
          <w:rtl/>
        </w:rPr>
      </w:pPr>
    </w:p>
    <w:p w14:paraId="101AFC11" w14:textId="6BDCD4C1" w:rsidR="00BB2F0D" w:rsidRPr="000E3D97" w:rsidRDefault="00BB2F0D" w:rsidP="007F7FB4">
      <w:pPr>
        <w:rPr>
          <w:sz w:val="8"/>
          <w:szCs w:val="8"/>
          <w:rtl/>
        </w:rPr>
      </w:pPr>
    </w:p>
    <w:p w14:paraId="255ECF3E" w14:textId="1559BAEB" w:rsidR="001F3DCC" w:rsidRDefault="001F3DCC" w:rsidP="003A24F7">
      <w:pPr>
        <w:jc w:val="center"/>
        <w:rPr>
          <w:rtl/>
        </w:rPr>
      </w:pPr>
    </w:p>
    <w:p w14:paraId="60C39F5D" w14:textId="2CA2D897" w:rsidR="00DA2B42" w:rsidRDefault="00635168" w:rsidP="003A24F7">
      <w:pPr>
        <w:jc w:val="center"/>
        <w:rPr>
          <w:rtl/>
        </w:rPr>
      </w:pPr>
      <w:r w:rsidRPr="00635168">
        <w:rPr>
          <w:rFonts w:hint="cs"/>
          <w:rtl/>
        </w:rPr>
        <w:t>בברכה</w:t>
      </w:r>
      <w:r w:rsidR="00DA2B42" w:rsidRPr="00635168">
        <w:rPr>
          <w:rFonts w:hint="cs"/>
          <w:rtl/>
        </w:rPr>
        <w:t>,</w:t>
      </w:r>
    </w:p>
    <w:p w14:paraId="6C101646" w14:textId="11DAEB26" w:rsidR="000E3D97" w:rsidRDefault="007667C1" w:rsidP="007F7FB4">
      <w:pPr>
        <w:rPr>
          <w:rtl/>
        </w:rPr>
      </w:pPr>
      <w:r>
        <w:rPr>
          <w:noProof/>
        </w:rPr>
        <w:drawing>
          <wp:anchor distT="0" distB="0" distL="114300" distR="114300" simplePos="0" relativeHeight="251657728" behindDoc="0" locked="0" layoutInCell="1" allowOverlap="1" wp14:anchorId="32D19877" wp14:editId="1500D334">
            <wp:simplePos x="0" y="0"/>
            <wp:positionH relativeFrom="column">
              <wp:posOffset>3951019</wp:posOffset>
            </wp:positionH>
            <wp:positionV relativeFrom="paragraph">
              <wp:posOffset>213849</wp:posOffset>
            </wp:positionV>
            <wp:extent cx="831850" cy="420651"/>
            <wp:effectExtent l="0" t="0" r="6350" b="0"/>
            <wp:wrapNone/>
            <wp:docPr id="1612703591" name="Picture 3" descr="Ink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 1, 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1850" cy="4206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317CC0" w14:textId="248CBFA2" w:rsidR="00445510" w:rsidRDefault="00A2195B" w:rsidP="007F7FB4">
      <w:pPr>
        <w:rPr>
          <w:rtl/>
        </w:rPr>
      </w:pPr>
      <w:r>
        <w:rPr>
          <w:noProof/>
        </w:rPr>
        <w:drawing>
          <wp:anchor distT="0" distB="0" distL="114300" distR="114300" simplePos="0" relativeHeight="251659776" behindDoc="0" locked="0" layoutInCell="1" allowOverlap="1" wp14:anchorId="11E0ADE0" wp14:editId="63C9DEEE">
            <wp:simplePos x="0" y="0"/>
            <wp:positionH relativeFrom="column">
              <wp:posOffset>1274885</wp:posOffset>
            </wp:positionH>
            <wp:positionV relativeFrom="paragraph">
              <wp:posOffset>29112</wp:posOffset>
            </wp:positionV>
            <wp:extent cx="800100" cy="628650"/>
            <wp:effectExtent l="0" t="0" r="0" b="0"/>
            <wp:wrapNone/>
            <wp:docPr id="1968424386" name="Picture 2" descr="תמונה שמכילה שרטוט, שחור, טקסט, שחור ו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מונה שמכילה שרטוט, שחור, טקסט, שחור ולבן&#10;&#10;תוכן בינה מלאכותית גנרטיבית עשוי להיות שגו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628650"/>
                    </a:xfrm>
                    <a:prstGeom prst="rect">
                      <a:avLst/>
                    </a:prstGeom>
                    <a:noFill/>
                    <a:ln>
                      <a:noFill/>
                    </a:ln>
                  </pic:spPr>
                </pic:pic>
              </a:graphicData>
            </a:graphic>
          </wp:anchor>
        </w:drawing>
      </w:r>
    </w:p>
    <w:p w14:paraId="07913319" w14:textId="77C03A62" w:rsidR="00445510" w:rsidRPr="00635168" w:rsidRDefault="00445510" w:rsidP="007F7FB4">
      <w:pPr>
        <w:rPr>
          <w:rtl/>
        </w:rPr>
      </w:pPr>
    </w:p>
    <w:p w14:paraId="4BC597F0" w14:textId="77777777" w:rsidR="00DA2B42" w:rsidRPr="000E3D97" w:rsidRDefault="00DA2B42" w:rsidP="007F7FB4">
      <w:pPr>
        <w:pStyle w:val="NoSpacing"/>
        <w:rPr>
          <w:sz w:val="2"/>
          <w:szCs w:val="2"/>
          <w:rtl/>
        </w:rPr>
      </w:pPr>
    </w:p>
    <w:tbl>
      <w:tblPr>
        <w:tblStyle w:val="TableGrid"/>
        <w:bidiVisual/>
        <w:tblW w:w="0" w:type="auto"/>
        <w:tblInd w:w="1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717"/>
        <w:gridCol w:w="709"/>
        <w:gridCol w:w="2557"/>
      </w:tblGrid>
      <w:tr w:rsidR="00DA2B42" w:rsidRPr="00D75B80" w14:paraId="297AF381" w14:textId="77777777">
        <w:trPr>
          <w:trHeight w:val="1115"/>
        </w:trPr>
        <w:tc>
          <w:tcPr>
            <w:tcW w:w="2682" w:type="dxa"/>
            <w:tcBorders>
              <w:top w:val="single" w:sz="4" w:space="0" w:color="auto"/>
            </w:tcBorders>
          </w:tcPr>
          <w:p w14:paraId="7662B444" w14:textId="21E0B080" w:rsidR="00DA2B42" w:rsidRPr="007F7FB4" w:rsidRDefault="00974A87" w:rsidP="000E3D97">
            <w:pPr>
              <w:spacing w:before="240" w:after="0"/>
              <w:jc w:val="center"/>
              <w:rPr>
                <w:b/>
                <w:bCs/>
                <w:sz w:val="24"/>
                <w:szCs w:val="24"/>
                <w:rtl/>
              </w:rPr>
            </w:pPr>
            <w:r>
              <w:rPr>
                <w:rFonts w:hint="cs"/>
                <w:b/>
                <w:bCs/>
                <w:sz w:val="24"/>
                <w:szCs w:val="24"/>
                <w:rtl/>
              </w:rPr>
              <w:t>ז'קלין ברכה</w:t>
            </w:r>
            <w:r w:rsidR="00DA2B42" w:rsidRPr="007F7FB4">
              <w:rPr>
                <w:rFonts w:hint="cs"/>
                <w:b/>
                <w:bCs/>
                <w:sz w:val="24"/>
                <w:szCs w:val="24"/>
                <w:rtl/>
              </w:rPr>
              <w:t>, עו"ד</w:t>
            </w:r>
          </w:p>
          <w:p w14:paraId="43AA8BFD" w14:textId="0DA60283" w:rsidR="00DA2B42" w:rsidRPr="007F7FB4" w:rsidRDefault="00DA2B42" w:rsidP="000E3D97">
            <w:pPr>
              <w:spacing w:after="0"/>
              <w:jc w:val="center"/>
              <w:rPr>
                <w:sz w:val="24"/>
                <w:szCs w:val="24"/>
                <w:rtl/>
              </w:rPr>
            </w:pPr>
            <w:r w:rsidRPr="007F7FB4">
              <w:rPr>
                <w:rFonts w:hint="cs"/>
                <w:sz w:val="24"/>
                <w:szCs w:val="24"/>
                <w:rtl/>
              </w:rPr>
              <w:t>האגף הכלכלי</w:t>
            </w:r>
          </w:p>
          <w:p w14:paraId="00C94959" w14:textId="77777777" w:rsidR="00DA2B42" w:rsidRPr="007F7FB4" w:rsidRDefault="00DA2B42" w:rsidP="000E3D97">
            <w:pPr>
              <w:spacing w:after="0"/>
              <w:jc w:val="center"/>
              <w:rPr>
                <w:sz w:val="24"/>
                <w:szCs w:val="24"/>
                <w:rtl/>
              </w:rPr>
            </w:pPr>
            <w:r w:rsidRPr="007F7FB4">
              <w:rPr>
                <w:rFonts w:hint="cs"/>
                <w:sz w:val="24"/>
                <w:szCs w:val="24"/>
                <w:rtl/>
              </w:rPr>
              <w:t>התנועה לאיכות השלטון</w:t>
            </w:r>
          </w:p>
        </w:tc>
        <w:tc>
          <w:tcPr>
            <w:tcW w:w="717" w:type="dxa"/>
          </w:tcPr>
          <w:p w14:paraId="450F860B" w14:textId="77777777" w:rsidR="00DA2B42" w:rsidRPr="007F7FB4" w:rsidRDefault="00DA2B42" w:rsidP="000E3D97">
            <w:pPr>
              <w:spacing w:after="0"/>
              <w:jc w:val="center"/>
              <w:rPr>
                <w:sz w:val="24"/>
                <w:szCs w:val="24"/>
                <w:rtl/>
              </w:rPr>
            </w:pPr>
          </w:p>
        </w:tc>
        <w:tc>
          <w:tcPr>
            <w:tcW w:w="709" w:type="dxa"/>
          </w:tcPr>
          <w:p w14:paraId="7F961C00" w14:textId="77777777" w:rsidR="00DA2B42" w:rsidRPr="007F7FB4" w:rsidRDefault="00DA2B42" w:rsidP="000E3D97">
            <w:pPr>
              <w:spacing w:after="0"/>
              <w:jc w:val="center"/>
              <w:rPr>
                <w:sz w:val="24"/>
                <w:szCs w:val="24"/>
                <w:rtl/>
              </w:rPr>
            </w:pPr>
          </w:p>
        </w:tc>
        <w:tc>
          <w:tcPr>
            <w:tcW w:w="2557" w:type="dxa"/>
            <w:tcBorders>
              <w:top w:val="single" w:sz="4" w:space="0" w:color="auto"/>
            </w:tcBorders>
          </w:tcPr>
          <w:p w14:paraId="3CBD26A8" w14:textId="1CFF62A7" w:rsidR="00DA2B42" w:rsidRPr="007F7FB4" w:rsidRDefault="00635168" w:rsidP="000E3D97">
            <w:pPr>
              <w:spacing w:before="240" w:after="0"/>
              <w:jc w:val="center"/>
              <w:rPr>
                <w:b/>
                <w:bCs/>
                <w:sz w:val="24"/>
                <w:szCs w:val="24"/>
                <w:rtl/>
              </w:rPr>
            </w:pPr>
            <w:r>
              <w:rPr>
                <w:rFonts w:hint="cs"/>
                <w:b/>
                <w:bCs/>
                <w:sz w:val="24"/>
                <w:szCs w:val="24"/>
                <w:rtl/>
              </w:rPr>
              <w:t>יניב גולדברג</w:t>
            </w:r>
            <w:r w:rsidR="00DA2B42" w:rsidRPr="007F7FB4">
              <w:rPr>
                <w:rFonts w:hint="cs"/>
                <w:b/>
                <w:bCs/>
                <w:sz w:val="24"/>
                <w:szCs w:val="24"/>
                <w:rtl/>
              </w:rPr>
              <w:t>, עו"ד</w:t>
            </w:r>
          </w:p>
          <w:p w14:paraId="3F80E235" w14:textId="34BB259F" w:rsidR="00DA2B42" w:rsidRPr="007F7FB4" w:rsidRDefault="00DA2B42" w:rsidP="000E3D97">
            <w:pPr>
              <w:spacing w:after="0"/>
              <w:jc w:val="center"/>
              <w:rPr>
                <w:sz w:val="24"/>
                <w:szCs w:val="24"/>
                <w:rtl/>
              </w:rPr>
            </w:pPr>
            <w:r w:rsidRPr="007F7FB4">
              <w:rPr>
                <w:rFonts w:hint="cs"/>
                <w:sz w:val="24"/>
                <w:szCs w:val="24"/>
                <w:rtl/>
              </w:rPr>
              <w:t>ראש האגף הכלכלי</w:t>
            </w:r>
          </w:p>
          <w:p w14:paraId="4E72E9AA" w14:textId="77777777" w:rsidR="00DA2B42" w:rsidRPr="007F7FB4" w:rsidRDefault="00DA2B42" w:rsidP="000E3D97">
            <w:pPr>
              <w:spacing w:after="0"/>
              <w:jc w:val="center"/>
              <w:rPr>
                <w:sz w:val="24"/>
                <w:szCs w:val="24"/>
                <w:rtl/>
              </w:rPr>
            </w:pPr>
            <w:r w:rsidRPr="007F7FB4">
              <w:rPr>
                <w:rFonts w:hint="cs"/>
                <w:sz w:val="24"/>
                <w:szCs w:val="24"/>
                <w:rtl/>
              </w:rPr>
              <w:t>התנועה לאיכות השלטון</w:t>
            </w:r>
          </w:p>
        </w:tc>
      </w:tr>
    </w:tbl>
    <w:p w14:paraId="6571859B" w14:textId="77777777" w:rsidR="000E3D97" w:rsidRDefault="000E3D97" w:rsidP="000E3D97">
      <w:pPr>
        <w:spacing w:after="0"/>
        <w:rPr>
          <w:b/>
          <w:bCs/>
          <w:rtl/>
        </w:rPr>
      </w:pPr>
    </w:p>
    <w:p w14:paraId="7A41E67D" w14:textId="77777777" w:rsidR="00445510" w:rsidRDefault="00445510" w:rsidP="000E3D97">
      <w:pPr>
        <w:spacing w:after="0"/>
        <w:rPr>
          <w:b/>
          <w:bCs/>
          <w:rtl/>
        </w:rPr>
      </w:pPr>
    </w:p>
    <w:p w14:paraId="69ED5E4C" w14:textId="77777777" w:rsidR="00445510" w:rsidRDefault="00445510" w:rsidP="000E3D97">
      <w:pPr>
        <w:spacing w:after="0"/>
        <w:rPr>
          <w:b/>
          <w:bCs/>
          <w:rtl/>
        </w:rPr>
      </w:pPr>
    </w:p>
    <w:p w14:paraId="3173553D" w14:textId="4D344950" w:rsidR="00DA2B42" w:rsidRPr="000E3D97" w:rsidRDefault="00DA2B42" w:rsidP="000E3D97">
      <w:pPr>
        <w:spacing w:after="0"/>
        <w:rPr>
          <w:b/>
          <w:bCs/>
          <w:rtl/>
        </w:rPr>
      </w:pPr>
      <w:r w:rsidRPr="000E3D97">
        <w:rPr>
          <w:rFonts w:hint="cs"/>
          <w:b/>
          <w:bCs/>
          <w:rtl/>
        </w:rPr>
        <w:t>העתקים:</w:t>
      </w:r>
    </w:p>
    <w:p w14:paraId="17A9D745" w14:textId="7C6DED8E" w:rsidR="00635168" w:rsidRPr="000E3D97" w:rsidRDefault="00635168" w:rsidP="000E3D97">
      <w:pPr>
        <w:spacing w:after="0"/>
        <w:rPr>
          <w:rtl/>
        </w:rPr>
      </w:pPr>
      <w:r w:rsidRPr="000E3D97">
        <w:rPr>
          <w:rFonts w:hint="cs"/>
          <w:rtl/>
        </w:rPr>
        <w:t xml:space="preserve">עו"ד דודי קופל </w:t>
      </w:r>
      <w:r w:rsidRPr="000E3D97">
        <w:rPr>
          <w:rtl/>
        </w:rPr>
        <w:t>–</w:t>
      </w:r>
      <w:r w:rsidRPr="000E3D97">
        <w:rPr>
          <w:rFonts w:hint="cs"/>
          <w:rtl/>
        </w:rPr>
        <w:t xml:space="preserve"> יועמ"ש משרד האוצר.</w:t>
      </w:r>
    </w:p>
    <w:p w14:paraId="1F494566" w14:textId="06C2595E" w:rsidR="005E0946" w:rsidRPr="000E3D97" w:rsidRDefault="005E0946" w:rsidP="000E3D97">
      <w:pPr>
        <w:spacing w:after="0"/>
        <w:rPr>
          <w:rtl/>
        </w:rPr>
      </w:pPr>
      <w:r w:rsidRPr="000E3D97">
        <w:rPr>
          <w:rFonts w:hint="cs"/>
          <w:rtl/>
        </w:rPr>
        <w:t>חברי ועדת כספים.</w:t>
      </w:r>
    </w:p>
    <w:sectPr w:rsidR="005E0946" w:rsidRPr="000E3D97" w:rsidSect="00B3041E">
      <w:headerReference w:type="even" r:id="rId10"/>
      <w:headerReference w:type="default" r:id="rId11"/>
      <w:footerReference w:type="even" r:id="rId12"/>
      <w:footerReference w:type="default" r:id="rId13"/>
      <w:headerReference w:type="first" r:id="rId14"/>
      <w:footerReference w:type="first" r:id="rId15"/>
      <w:pgSz w:w="12240" w:h="15840"/>
      <w:pgMar w:top="2325" w:right="1440" w:bottom="1701" w:left="1440" w:header="397" w:footer="57" w:gutter="0"/>
      <w:pgNumType w:fmt="numberInDash"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5060E" w14:textId="77777777" w:rsidR="00C2336B" w:rsidRDefault="00C2336B" w:rsidP="00013EDD">
      <w:r>
        <w:separator/>
      </w:r>
    </w:p>
    <w:p w14:paraId="28264AF6" w14:textId="77777777" w:rsidR="00C2336B" w:rsidRDefault="00C2336B" w:rsidP="00013EDD"/>
    <w:p w14:paraId="60168D37" w14:textId="77777777" w:rsidR="00C2336B" w:rsidRDefault="00C2336B"/>
  </w:endnote>
  <w:endnote w:type="continuationSeparator" w:id="0">
    <w:p w14:paraId="6237C9FB" w14:textId="77777777" w:rsidR="00C2336B" w:rsidRDefault="00C2336B" w:rsidP="00013EDD">
      <w:r>
        <w:continuationSeparator/>
      </w:r>
    </w:p>
    <w:p w14:paraId="114C8132" w14:textId="77777777" w:rsidR="00C2336B" w:rsidRDefault="00C2336B" w:rsidP="00013EDD"/>
    <w:p w14:paraId="3F051AEE" w14:textId="77777777" w:rsidR="00C2336B" w:rsidRDefault="00C2336B"/>
  </w:endnote>
  <w:endnote w:type="continuationNotice" w:id="1">
    <w:p w14:paraId="5213F5B5" w14:textId="77777777" w:rsidR="00C2336B" w:rsidRDefault="00C2336B" w:rsidP="00013EDD"/>
    <w:p w14:paraId="62C6060E" w14:textId="77777777" w:rsidR="00C2336B" w:rsidRDefault="00C2336B" w:rsidP="00013EDD"/>
    <w:p w14:paraId="61E3371A" w14:textId="77777777" w:rsidR="00C2336B" w:rsidRDefault="00C23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EndPr>
      <w:rPr>
        <w:rStyle w:val="PageNumber"/>
      </w:rPr>
    </w:sdtEndPr>
    <w:sdtContent>
      <w:p w14:paraId="3EA83A18" w14:textId="0C343085" w:rsidR="008A66FA" w:rsidRDefault="008A66FA"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EndPr>
      <w:rPr>
        <w:rStyle w:val="PageNumber"/>
      </w:rPr>
    </w:sdtEndPr>
    <w:sdtContent>
      <w:p w14:paraId="511232AB" w14:textId="137CF8B9" w:rsidR="003F26E9" w:rsidRDefault="003F26E9"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854D99" w14:textId="77777777" w:rsidR="003F26E9" w:rsidRDefault="003F26E9" w:rsidP="00013EDD">
    <w:pPr>
      <w:pStyle w:val="Footer"/>
    </w:pPr>
  </w:p>
  <w:p w14:paraId="33ED089B" w14:textId="77777777" w:rsidR="00013EDD" w:rsidRDefault="00013EDD" w:rsidP="00013EDD"/>
  <w:p w14:paraId="6FD1365B" w14:textId="77777777" w:rsidR="00A96657" w:rsidRDefault="00A966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F532" w14:textId="03545F44" w:rsidR="007C3618" w:rsidRDefault="007C3618" w:rsidP="007C3618">
    <w:pPr>
      <w:pStyle w:val="Footer"/>
      <w:ind w:left="-567"/>
      <w:jc w:val="center"/>
      <w:rPr>
        <w:rtl/>
      </w:rPr>
    </w:pPr>
    <w:r>
      <w:rPr>
        <w:noProof/>
        <w:rtl/>
        <w:lang w:val="he-IL"/>
        <w14:ligatures w14:val="standardContextual"/>
      </w:rPr>
      <w:drawing>
        <wp:anchor distT="0" distB="0" distL="114300" distR="114300" simplePos="0" relativeHeight="251658241" behindDoc="1" locked="0" layoutInCell="1" allowOverlap="1" wp14:anchorId="680070C1" wp14:editId="53FC795D">
          <wp:simplePos x="0" y="0"/>
          <wp:positionH relativeFrom="margin">
            <wp:align>center</wp:align>
          </wp:positionH>
          <wp:positionV relativeFrom="paragraph">
            <wp:posOffset>-156757</wp:posOffset>
          </wp:positionV>
          <wp:extent cx="5943600" cy="684530"/>
          <wp:effectExtent l="0" t="0" r="0" b="1270"/>
          <wp:wrapNone/>
          <wp:docPr id="12364427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p>
  <w:p w14:paraId="45C6D02B" w14:textId="77777777" w:rsidR="00013EDD" w:rsidRDefault="00013EDD" w:rsidP="00013EDD"/>
  <w:p w14:paraId="076099D8" w14:textId="77777777" w:rsidR="00A96657" w:rsidRDefault="00A966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504D" w14:textId="77777777" w:rsidR="00691FA2" w:rsidRDefault="00691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5151C" w14:textId="77777777" w:rsidR="00C2336B" w:rsidRDefault="00C2336B" w:rsidP="00013EDD">
      <w:r>
        <w:separator/>
      </w:r>
    </w:p>
  </w:footnote>
  <w:footnote w:type="continuationSeparator" w:id="0">
    <w:p w14:paraId="045AC28D" w14:textId="77777777" w:rsidR="00C2336B" w:rsidRDefault="00C2336B" w:rsidP="00013EDD">
      <w:r>
        <w:continuationSeparator/>
      </w:r>
    </w:p>
    <w:p w14:paraId="28E64D47" w14:textId="77777777" w:rsidR="00C2336B" w:rsidRDefault="00C2336B" w:rsidP="00013EDD"/>
    <w:p w14:paraId="262F5D29" w14:textId="77777777" w:rsidR="00C2336B" w:rsidRDefault="00C2336B"/>
  </w:footnote>
  <w:footnote w:type="continuationNotice" w:id="1">
    <w:p w14:paraId="1307A93F" w14:textId="77777777" w:rsidR="00C2336B" w:rsidRDefault="00C2336B" w:rsidP="00013EDD"/>
    <w:p w14:paraId="27F497D4" w14:textId="77777777" w:rsidR="00C2336B" w:rsidRDefault="00C2336B" w:rsidP="00013EDD"/>
    <w:p w14:paraId="6D71647F" w14:textId="77777777" w:rsidR="00C2336B" w:rsidRDefault="00C2336B"/>
  </w:footnote>
  <w:footnote w:id="2">
    <w:p w14:paraId="41070132" w14:textId="37B82AB3" w:rsidR="00A36860" w:rsidRDefault="00A36860">
      <w:pPr>
        <w:pStyle w:val="FootnoteText"/>
        <w:rPr>
          <w:rtl/>
        </w:rPr>
      </w:pPr>
      <w:r>
        <w:rPr>
          <w:rStyle w:val="FootnoteReference"/>
        </w:rPr>
        <w:footnoteRef/>
      </w:r>
      <w:r>
        <w:rPr>
          <w:rtl/>
        </w:rPr>
        <w:t xml:space="preserve"> </w:t>
      </w:r>
      <w:r>
        <w:rPr>
          <w:rFonts w:hint="cs"/>
          <w:rtl/>
        </w:rPr>
        <w:t>הנחיות היועץ המשפטי לממשלה, הנחייה מספר 1.1801, "יישום הסכמים פוליטיים בעלי משמעות תקציבית" (14.3.</w:t>
      </w:r>
      <w:r w:rsidR="00AF7856">
        <w:rPr>
          <w:rFonts w:hint="cs"/>
          <w:rtl/>
        </w:rPr>
        <w:t>2018</w:t>
      </w:r>
      <w:r>
        <w:rPr>
          <w:rFonts w:hint="cs"/>
          <w:rtl/>
        </w:rPr>
        <w:t>) (להלן: "</w:t>
      </w:r>
      <w:r w:rsidRPr="00A76860">
        <w:rPr>
          <w:rFonts w:hint="cs"/>
          <w:b/>
          <w:bCs/>
          <w:rtl/>
        </w:rPr>
        <w:t>הנחיית היועמ"ש</w:t>
      </w:r>
      <w:r>
        <w:rPr>
          <w:rFonts w:hint="cs"/>
          <w:rtl/>
        </w:rPr>
        <w:t>"), פסקאות 26-27.</w:t>
      </w:r>
    </w:p>
  </w:footnote>
  <w:footnote w:id="3">
    <w:p w14:paraId="392F37F7" w14:textId="77777777" w:rsidR="00381209" w:rsidRDefault="00381209" w:rsidP="00381209">
      <w:pPr>
        <w:pStyle w:val="FootnoteText"/>
        <w:rPr>
          <w:rtl/>
        </w:rPr>
      </w:pPr>
      <w:r>
        <w:rPr>
          <w:rStyle w:val="FootnoteReference"/>
        </w:rPr>
        <w:footnoteRef/>
      </w:r>
      <w:r>
        <w:rPr>
          <w:rtl/>
        </w:rPr>
        <w:t xml:space="preserve"> </w:t>
      </w:r>
      <w:r w:rsidRPr="003E629D">
        <w:rPr>
          <w:rtl/>
        </w:rPr>
        <w:t xml:space="preserve">בג"ץ 8749/13 </w:t>
      </w:r>
      <w:r w:rsidRPr="00664574">
        <w:rPr>
          <w:b/>
          <w:bCs/>
          <w:rtl/>
        </w:rPr>
        <w:t>חה"כ סתיו שפיר נ' שר האוצר</w:t>
      </w:r>
      <w:r w:rsidRPr="003E629D">
        <w:rPr>
          <w:rtl/>
        </w:rPr>
        <w:t xml:space="preserve"> (נבו 13.8.2017)</w:t>
      </w:r>
      <w:r>
        <w:rPr>
          <w:rFonts w:hint="cs"/>
          <w:rtl/>
        </w:rPr>
        <w:t>.</w:t>
      </w:r>
    </w:p>
  </w:footnote>
  <w:footnote w:id="4">
    <w:p w14:paraId="6BFC5282" w14:textId="2399CC53" w:rsidR="00A11FE2" w:rsidRDefault="00A11FE2" w:rsidP="00A11FE2">
      <w:pPr>
        <w:pStyle w:val="FootnoteText"/>
        <w:rPr>
          <w:rtl/>
        </w:rPr>
      </w:pPr>
      <w:r>
        <w:rPr>
          <w:rStyle w:val="FootnoteReference"/>
        </w:rPr>
        <w:footnoteRef/>
      </w:r>
      <w:r>
        <w:rPr>
          <w:rtl/>
        </w:rPr>
        <w:t xml:space="preserve"> </w:t>
      </w:r>
      <w:r w:rsidRPr="00ED643A">
        <w:rPr>
          <w:rtl/>
        </w:rPr>
        <w:t>ד"ר נרי הורוביץ ורוני ברבוי</w:t>
      </w:r>
      <w:r w:rsidRPr="00ED643A">
        <w:rPr>
          <w:rFonts w:hint="cs"/>
          <w:rtl/>
        </w:rPr>
        <w:t xml:space="preserve"> </w:t>
      </w:r>
      <w:r>
        <w:rPr>
          <w:rFonts w:hint="cs"/>
          <w:rtl/>
        </w:rPr>
        <w:t>"</w:t>
      </w:r>
      <w:r w:rsidRPr="00A11FE2">
        <w:rPr>
          <w:rtl/>
        </w:rPr>
        <w:t>מאחורי הקלעים של תקציב 2026</w:t>
      </w:r>
      <w:r w:rsidRPr="00A11FE2">
        <w:t xml:space="preserve"> – </w:t>
      </w:r>
      <w:r w:rsidRPr="00A11FE2">
        <w:rPr>
          <w:rtl/>
        </w:rPr>
        <w:t>שקיפות, פוליטיקה וגבולות הפיקוח הפרלמנטרי</w:t>
      </w:r>
      <w:r>
        <w:rPr>
          <w:rFonts w:hint="cs"/>
          <w:rtl/>
        </w:rPr>
        <w:t xml:space="preserve">", </w:t>
      </w:r>
      <w:r w:rsidRPr="00ED643A">
        <w:rPr>
          <w:rFonts w:hint="cs"/>
          <w:rtl/>
        </w:rPr>
        <w:t>מה</w:t>
      </w:r>
      <w:r w:rsidRPr="00ED643A">
        <w:rPr>
          <w:rtl/>
        </w:rPr>
        <w:t>המכון הישראלי לדמוקרטיה</w:t>
      </w:r>
      <w:r>
        <w:rPr>
          <w:rFonts w:hint="cs"/>
          <w:rtl/>
        </w:rPr>
        <w:t xml:space="preserve">, מרץ 2026, זמין </w:t>
      </w:r>
      <w:hyperlink r:id="rId1" w:history="1">
        <w:r w:rsidRPr="003930E1">
          <w:rPr>
            <w:rStyle w:val="Hyperlink"/>
            <w:rtl/>
          </w:rPr>
          <w:t>כאן</w:t>
        </w:r>
      </w:hyperlink>
      <w:r>
        <w:rPr>
          <w:rFonts w:hint="cs"/>
          <w:rtl/>
        </w:rPr>
        <w:t>.</w:t>
      </w:r>
    </w:p>
  </w:footnote>
  <w:footnote w:id="5">
    <w:p w14:paraId="0D02E8EB" w14:textId="37D084D2" w:rsidR="00476200" w:rsidRDefault="00476200" w:rsidP="00476200">
      <w:pPr>
        <w:pStyle w:val="FootnoteText"/>
        <w:jc w:val="both"/>
        <w:rPr>
          <w:rtl/>
        </w:rPr>
      </w:pPr>
      <w:r>
        <w:rPr>
          <w:rStyle w:val="FootnoteReference"/>
        </w:rPr>
        <w:footnoteRef/>
      </w:r>
      <w:r>
        <w:rPr>
          <w:rtl/>
        </w:rPr>
        <w:t xml:space="preserve"> </w:t>
      </w:r>
      <w:r w:rsidRPr="00900803">
        <w:rPr>
          <w:rFonts w:hint="cs"/>
          <w:b/>
          <w:bCs/>
          <w:rtl/>
        </w:rPr>
        <w:t>הנחיית היועמ"ש</w:t>
      </w:r>
      <w:r>
        <w:rPr>
          <w:rFonts w:hint="cs"/>
          <w:rtl/>
        </w:rPr>
        <w:t xml:space="preserve">, ראו לעיל ה"ש </w:t>
      </w:r>
      <w:r w:rsidR="00697585">
        <w:rPr>
          <w:rFonts w:hint="cs"/>
          <w:rtl/>
        </w:rPr>
        <w:t>1</w:t>
      </w:r>
      <w:r w:rsidRPr="00A759F2">
        <w:rPr>
          <w:rFonts w:hint="cs"/>
          <w:rtl/>
        </w:rPr>
        <w:t>, סעיף 2;</w:t>
      </w:r>
      <w:r>
        <w:rPr>
          <w:rFonts w:hint="cs"/>
          <w:rtl/>
        </w:rPr>
        <w:t xml:space="preserve"> </w:t>
      </w:r>
      <w:r w:rsidRPr="003B3D35">
        <w:rPr>
          <w:rtl/>
        </w:rPr>
        <w:t>ראו לעניין זה הדיון ב"המשפט הקונסטיטוציוני של מדינת ישראל" אמנון רובינשטיין וברק מדינה,</w:t>
      </w:r>
      <w:r>
        <w:rPr>
          <w:rFonts w:hint="cs"/>
          <w:rtl/>
        </w:rPr>
        <w:t xml:space="preserve"> </w:t>
      </w:r>
      <w:r w:rsidRPr="003B3D35">
        <w:rPr>
          <w:rtl/>
        </w:rPr>
        <w:t>הוצאת שוקן</w:t>
      </w:r>
      <w:r>
        <w:rPr>
          <w:rFonts w:hint="cs"/>
          <w:rtl/>
        </w:rPr>
        <w:t xml:space="preserve">, </w:t>
      </w:r>
      <w:r w:rsidRPr="003B3D35">
        <w:rPr>
          <w:rtl/>
        </w:rPr>
        <w:t>מהדורה חמישית, כרך א, עמודים 636 637</w:t>
      </w:r>
      <w:r>
        <w:rPr>
          <w:rFonts w:hint="cs"/>
          <w:rtl/>
        </w:rPr>
        <w:t>,</w:t>
      </w:r>
      <w:r w:rsidRPr="003B3D35">
        <w:rPr>
          <w:rtl/>
        </w:rPr>
        <w:t xml:space="preserve"> וכן נילי כהן, ההסכם הפוליטי, </w:t>
      </w:r>
      <w:r w:rsidRPr="003B3D35">
        <w:rPr>
          <w:rFonts w:hint="cs"/>
          <w:b/>
          <w:bCs/>
          <w:rtl/>
        </w:rPr>
        <w:t>המשפט</w:t>
      </w:r>
      <w:r w:rsidRPr="003B3D35">
        <w:rPr>
          <w:rtl/>
        </w:rPr>
        <w:t xml:space="preserve">, כרך א' 59 </w:t>
      </w:r>
      <w:r>
        <w:rPr>
          <w:rFonts w:hint="cs"/>
          <w:rtl/>
        </w:rPr>
        <w:t>(1993)</w:t>
      </w:r>
      <w:r w:rsidRPr="003B3D35">
        <w:rPr>
          <w:rtl/>
        </w:rPr>
        <w:t>, עמודים 66</w:t>
      </w:r>
      <w:r>
        <w:rPr>
          <w:rFonts w:hint="cs"/>
          <w:rtl/>
        </w:rPr>
        <w:t xml:space="preserve">-73. </w:t>
      </w:r>
    </w:p>
  </w:footnote>
  <w:footnote w:id="6">
    <w:p w14:paraId="43AE36AB" w14:textId="41750B3D" w:rsidR="00476200" w:rsidRDefault="00476200" w:rsidP="00476200">
      <w:pPr>
        <w:pStyle w:val="FootnoteText"/>
        <w:jc w:val="both"/>
        <w:rPr>
          <w:rtl/>
        </w:rPr>
      </w:pPr>
      <w:r>
        <w:rPr>
          <w:rStyle w:val="FootnoteReference"/>
        </w:rPr>
        <w:footnoteRef/>
      </w:r>
      <w:r>
        <w:rPr>
          <w:rtl/>
        </w:rPr>
        <w:t xml:space="preserve"> </w:t>
      </w:r>
      <w:r w:rsidRPr="00900803">
        <w:rPr>
          <w:rFonts w:hint="cs"/>
          <w:b/>
          <w:bCs/>
          <w:rtl/>
        </w:rPr>
        <w:t>הנחיית היועמ"ש</w:t>
      </w:r>
      <w:r>
        <w:rPr>
          <w:rFonts w:hint="cs"/>
          <w:rtl/>
        </w:rPr>
        <w:t>, ראו לעיל ה"ש</w:t>
      </w:r>
      <w:r w:rsidR="00697585">
        <w:rPr>
          <w:rFonts w:hint="cs"/>
          <w:rtl/>
        </w:rPr>
        <w:t>1</w:t>
      </w:r>
      <w:r>
        <w:rPr>
          <w:rFonts w:hint="cs"/>
          <w:rtl/>
        </w:rPr>
        <w:t xml:space="preserve">, סעיף 38. </w:t>
      </w:r>
    </w:p>
  </w:footnote>
  <w:footnote w:id="7">
    <w:p w14:paraId="0D7419E9" w14:textId="374D0B7C" w:rsidR="00476200" w:rsidRDefault="00476200" w:rsidP="00476200">
      <w:pPr>
        <w:pStyle w:val="FootnoteText"/>
      </w:pPr>
      <w:r>
        <w:rPr>
          <w:rStyle w:val="FootnoteReference"/>
        </w:rPr>
        <w:footnoteRef/>
      </w:r>
      <w:r>
        <w:rPr>
          <w:rtl/>
        </w:rPr>
        <w:t xml:space="preserve"> </w:t>
      </w:r>
      <w:r w:rsidRPr="00900803">
        <w:rPr>
          <w:rFonts w:hint="cs"/>
          <w:b/>
          <w:bCs/>
          <w:rtl/>
        </w:rPr>
        <w:t>הנחיית היועמ"ש</w:t>
      </w:r>
      <w:r>
        <w:rPr>
          <w:rFonts w:hint="cs"/>
          <w:rtl/>
        </w:rPr>
        <w:t xml:space="preserve">, ראו לעיל ה"ש </w:t>
      </w:r>
      <w:r w:rsidR="00697585">
        <w:rPr>
          <w:rFonts w:hint="cs"/>
          <w:rtl/>
        </w:rPr>
        <w:t>1</w:t>
      </w:r>
      <w:r>
        <w:rPr>
          <w:rFonts w:hint="cs"/>
          <w:rtl/>
        </w:rPr>
        <w:t>, סעיף 26.</w:t>
      </w:r>
    </w:p>
  </w:footnote>
  <w:footnote w:id="8">
    <w:p w14:paraId="3A12C6AD" w14:textId="77777777" w:rsidR="00476200" w:rsidRDefault="00476200" w:rsidP="00476200">
      <w:pPr>
        <w:pStyle w:val="FootnoteText"/>
        <w:rPr>
          <w:rtl/>
        </w:rPr>
      </w:pPr>
      <w:r>
        <w:rPr>
          <w:rStyle w:val="FootnoteReference"/>
        </w:rPr>
        <w:footnoteRef/>
      </w:r>
      <w:r>
        <w:rPr>
          <w:rtl/>
        </w:rPr>
        <w:t xml:space="preserve"> </w:t>
      </w:r>
      <w:r>
        <w:rPr>
          <w:rFonts w:hint="cs"/>
          <w:rtl/>
        </w:rPr>
        <w:t>כלומר, תת תתי סעיפי תקציב ראשיים בתקציב המדינה.</w:t>
      </w:r>
    </w:p>
  </w:footnote>
  <w:footnote w:id="9">
    <w:p w14:paraId="7D5CBC2D" w14:textId="2145723E" w:rsidR="00476200" w:rsidRDefault="00476200" w:rsidP="00476200">
      <w:pPr>
        <w:pStyle w:val="FootnoteText"/>
      </w:pPr>
      <w:r>
        <w:rPr>
          <w:rStyle w:val="FootnoteReference"/>
        </w:rPr>
        <w:footnoteRef/>
      </w:r>
      <w:r>
        <w:rPr>
          <w:rtl/>
        </w:rPr>
        <w:t xml:space="preserve"> </w:t>
      </w:r>
      <w:r w:rsidRPr="00900803">
        <w:rPr>
          <w:rFonts w:hint="cs"/>
          <w:b/>
          <w:bCs/>
          <w:rtl/>
        </w:rPr>
        <w:t>הנחיית היועמ"ש</w:t>
      </w:r>
      <w:r>
        <w:rPr>
          <w:rFonts w:hint="cs"/>
          <w:rtl/>
        </w:rPr>
        <w:t xml:space="preserve">, ראו לעיל ה"ש </w:t>
      </w:r>
      <w:r w:rsidR="00697585">
        <w:rPr>
          <w:rFonts w:hint="cs"/>
          <w:rtl/>
        </w:rPr>
        <w:t>1</w:t>
      </w:r>
      <w:r w:rsidRPr="00A759F2">
        <w:rPr>
          <w:rFonts w:hint="cs"/>
          <w:rtl/>
        </w:rPr>
        <w:t>,</w:t>
      </w:r>
      <w:r>
        <w:rPr>
          <w:rFonts w:hint="cs"/>
          <w:rtl/>
        </w:rPr>
        <w:t xml:space="preserve"> סעיף 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4915" w14:textId="3918CB9A" w:rsidR="00691FA2" w:rsidRDefault="00691F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B423" w14:textId="0747999B" w:rsidR="00A96657" w:rsidRDefault="00D65F83" w:rsidP="007C3618">
    <w:pPr>
      <w:pStyle w:val="Header"/>
      <w:tabs>
        <w:tab w:val="clear" w:pos="4680"/>
        <w:tab w:val="clear" w:pos="9360"/>
        <w:tab w:val="left" w:pos="8445"/>
      </w:tabs>
      <w:bidi w:val="0"/>
    </w:pPr>
    <w:r>
      <w:rPr>
        <w:noProof/>
        <w14:ligatures w14:val="standardContextual"/>
      </w:rPr>
      <w:drawing>
        <wp:anchor distT="0" distB="0" distL="114300" distR="114300" simplePos="0" relativeHeight="251658240" behindDoc="0" locked="0" layoutInCell="1" allowOverlap="1" wp14:anchorId="4B4596C4" wp14:editId="78202714">
          <wp:simplePos x="0" y="0"/>
          <wp:positionH relativeFrom="margin">
            <wp:align>center</wp:align>
          </wp:positionH>
          <wp:positionV relativeFrom="paragraph">
            <wp:posOffset>-248920</wp:posOffset>
          </wp:positionV>
          <wp:extent cx="5654675" cy="1397635"/>
          <wp:effectExtent l="0" t="0" r="3175" b="0"/>
          <wp:wrapSquare wrapText="bothSides"/>
          <wp:docPr id="1750546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AC85" w14:textId="72476C75" w:rsidR="00691FA2" w:rsidRDefault="00691F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976"/>
    <w:multiLevelType w:val="hybridMultilevel"/>
    <w:tmpl w:val="83E21322"/>
    <w:lvl w:ilvl="0" w:tplc="F190D6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310EE"/>
    <w:multiLevelType w:val="multilevel"/>
    <w:tmpl w:val="BEE86D64"/>
    <w:lvl w:ilvl="0">
      <w:start w:val="1"/>
      <w:numFmt w:val="decimal"/>
      <w:lvlText w:val="%1."/>
      <w:lvlJc w:val="left"/>
      <w:pPr>
        <w:ind w:left="360" w:hanging="360"/>
      </w:pPr>
      <w:rPr>
        <w:lang w:val="en-US"/>
      </w:rPr>
    </w:lvl>
    <w:lvl w:ilvl="1">
      <w:start w:val="1"/>
      <w:numFmt w:val="hebrew1"/>
      <w:lvlText w:val="%2."/>
      <w:lvlJc w:val="center"/>
      <w:pPr>
        <w:ind w:left="720" w:hanging="360"/>
      </w:pPr>
      <w:rPr>
        <w:lang w:val="en-U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4993669"/>
    <w:multiLevelType w:val="multilevel"/>
    <w:tmpl w:val="74C8B0E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5369C9"/>
    <w:multiLevelType w:val="hybridMultilevel"/>
    <w:tmpl w:val="6B401772"/>
    <w:lvl w:ilvl="0" w:tplc="E1700618">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162798"/>
    <w:multiLevelType w:val="multilevel"/>
    <w:tmpl w:val="74C8B0E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2B7F4E"/>
    <w:multiLevelType w:val="hybridMultilevel"/>
    <w:tmpl w:val="26D4D8C8"/>
    <w:lvl w:ilvl="0" w:tplc="8E98E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B16AAA"/>
    <w:multiLevelType w:val="multilevel"/>
    <w:tmpl w:val="9A5071F6"/>
    <w:lvl w:ilvl="0">
      <w:start w:val="1"/>
      <w:numFmt w:val="decimal"/>
      <w:pStyle w:val="a"/>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0F1F50"/>
    <w:multiLevelType w:val="multilevel"/>
    <w:tmpl w:val="31C82B9A"/>
    <w:lvl w:ilvl="0">
      <w:start w:val="1"/>
      <w:numFmt w:val="hebrew1"/>
      <w:pStyle w:val="Heading1"/>
      <w:lvlText w:val="%1."/>
      <w:lvlJc w:val="center"/>
      <w:pPr>
        <w:ind w:left="360" w:hanging="360"/>
      </w:pPr>
      <w:rPr>
        <w:rFonts w:hint="default"/>
      </w:rPr>
    </w:lvl>
    <w:lvl w:ilvl="1">
      <w:start w:val="1"/>
      <w:numFmt w:val="decimal"/>
      <w:pStyle w:val="Heading2"/>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 w15:restartNumberingAfterBreak="0">
    <w:nsid w:val="581B4712"/>
    <w:multiLevelType w:val="hybridMultilevel"/>
    <w:tmpl w:val="D4320A48"/>
    <w:lvl w:ilvl="0" w:tplc="E5D85300">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DF0F5C"/>
    <w:multiLevelType w:val="hybridMultilevel"/>
    <w:tmpl w:val="26D4D8C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0DD4292"/>
    <w:multiLevelType w:val="hybridMultilevel"/>
    <w:tmpl w:val="25442DC8"/>
    <w:lvl w:ilvl="0" w:tplc="D8A26558">
      <w:start w:val="1"/>
      <w:numFmt w:val="decimal"/>
      <w:lvlText w:val="%1."/>
      <w:lvlJc w:val="left"/>
      <w:pPr>
        <w:ind w:left="36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70229603">
    <w:abstractNumId w:val="3"/>
  </w:num>
  <w:num w:numId="2" w16cid:durableId="889147791">
    <w:abstractNumId w:val="8"/>
  </w:num>
  <w:num w:numId="3" w16cid:durableId="2133936748">
    <w:abstractNumId w:val="10"/>
  </w:num>
  <w:num w:numId="4" w16cid:durableId="1858425765">
    <w:abstractNumId w:val="6"/>
  </w:num>
  <w:num w:numId="5" w16cid:durableId="1108423956">
    <w:abstractNumId w:val="0"/>
  </w:num>
  <w:num w:numId="6" w16cid:durableId="1272735988">
    <w:abstractNumId w:val="7"/>
  </w:num>
  <w:num w:numId="7" w16cid:durableId="548960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2592804">
    <w:abstractNumId w:val="5"/>
  </w:num>
  <w:num w:numId="9" w16cid:durableId="2121685939">
    <w:abstractNumId w:val="9"/>
  </w:num>
  <w:num w:numId="10" w16cid:durableId="557673347">
    <w:abstractNumId w:val="6"/>
  </w:num>
  <w:num w:numId="11" w16cid:durableId="202251823">
    <w:abstractNumId w:val="2"/>
  </w:num>
  <w:num w:numId="12" w16cid:durableId="1056204926">
    <w:abstractNumId w:val="4"/>
  </w:num>
  <w:num w:numId="13" w16cid:durableId="1042444582">
    <w:abstractNumId w:val="6"/>
  </w:num>
  <w:num w:numId="14" w16cid:durableId="1740521196">
    <w:abstractNumId w:val="6"/>
  </w:num>
  <w:num w:numId="15" w16cid:durableId="1308974282">
    <w:abstractNumId w:val="6"/>
  </w:num>
  <w:num w:numId="16" w16cid:durableId="2108038569">
    <w:abstractNumId w:val="6"/>
  </w:num>
  <w:num w:numId="17" w16cid:durableId="1018197234">
    <w:abstractNumId w:val="6"/>
  </w:num>
  <w:num w:numId="18" w16cid:durableId="348529459">
    <w:abstractNumId w:val="6"/>
  </w:num>
  <w:num w:numId="19" w16cid:durableId="318513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4E"/>
    <w:rsid w:val="00000E5F"/>
    <w:rsid w:val="0000163E"/>
    <w:rsid w:val="00003EDC"/>
    <w:rsid w:val="00011C53"/>
    <w:rsid w:val="00013EDD"/>
    <w:rsid w:val="00020372"/>
    <w:rsid w:val="00022BF4"/>
    <w:rsid w:val="00024A38"/>
    <w:rsid w:val="0002638C"/>
    <w:rsid w:val="000314C6"/>
    <w:rsid w:val="0003687B"/>
    <w:rsid w:val="00037B0A"/>
    <w:rsid w:val="00041907"/>
    <w:rsid w:val="00050398"/>
    <w:rsid w:val="0006317B"/>
    <w:rsid w:val="00065A70"/>
    <w:rsid w:val="0006698A"/>
    <w:rsid w:val="00072D84"/>
    <w:rsid w:val="00081FC8"/>
    <w:rsid w:val="000825F0"/>
    <w:rsid w:val="00085DC0"/>
    <w:rsid w:val="000A0694"/>
    <w:rsid w:val="000A1340"/>
    <w:rsid w:val="000A1399"/>
    <w:rsid w:val="000A4084"/>
    <w:rsid w:val="000A6535"/>
    <w:rsid w:val="000B4F91"/>
    <w:rsid w:val="000B6035"/>
    <w:rsid w:val="000B6B86"/>
    <w:rsid w:val="000C7077"/>
    <w:rsid w:val="000E1000"/>
    <w:rsid w:val="000E3C61"/>
    <w:rsid w:val="000E3D97"/>
    <w:rsid w:val="000E770A"/>
    <w:rsid w:val="000F1C93"/>
    <w:rsid w:val="000F28C5"/>
    <w:rsid w:val="000F7BDD"/>
    <w:rsid w:val="001020A2"/>
    <w:rsid w:val="00103A83"/>
    <w:rsid w:val="001049F6"/>
    <w:rsid w:val="001063EA"/>
    <w:rsid w:val="00106D82"/>
    <w:rsid w:val="00113FC0"/>
    <w:rsid w:val="0011485A"/>
    <w:rsid w:val="00120DF3"/>
    <w:rsid w:val="0012466B"/>
    <w:rsid w:val="001378F4"/>
    <w:rsid w:val="00141053"/>
    <w:rsid w:val="001447D3"/>
    <w:rsid w:val="00146A31"/>
    <w:rsid w:val="00155BA4"/>
    <w:rsid w:val="00156F89"/>
    <w:rsid w:val="00162E09"/>
    <w:rsid w:val="0016486D"/>
    <w:rsid w:val="00167A1F"/>
    <w:rsid w:val="001729B9"/>
    <w:rsid w:val="001742B4"/>
    <w:rsid w:val="00174D97"/>
    <w:rsid w:val="00174EA7"/>
    <w:rsid w:val="00180F8E"/>
    <w:rsid w:val="001820EE"/>
    <w:rsid w:val="00185B1C"/>
    <w:rsid w:val="00190E48"/>
    <w:rsid w:val="00195757"/>
    <w:rsid w:val="001974B2"/>
    <w:rsid w:val="00197BB0"/>
    <w:rsid w:val="001A501B"/>
    <w:rsid w:val="001A7555"/>
    <w:rsid w:val="001A7A2F"/>
    <w:rsid w:val="001B0DF7"/>
    <w:rsid w:val="001B1C8A"/>
    <w:rsid w:val="001C1122"/>
    <w:rsid w:val="001C2C76"/>
    <w:rsid w:val="001C3D1E"/>
    <w:rsid w:val="001D44B3"/>
    <w:rsid w:val="001D606D"/>
    <w:rsid w:val="001D7C74"/>
    <w:rsid w:val="001F030A"/>
    <w:rsid w:val="001F2262"/>
    <w:rsid w:val="001F3DCC"/>
    <w:rsid w:val="002001A4"/>
    <w:rsid w:val="00215167"/>
    <w:rsid w:val="00215AFE"/>
    <w:rsid w:val="00221172"/>
    <w:rsid w:val="002215C2"/>
    <w:rsid w:val="00223A7B"/>
    <w:rsid w:val="00224328"/>
    <w:rsid w:val="00246680"/>
    <w:rsid w:val="00247A32"/>
    <w:rsid w:val="0025124E"/>
    <w:rsid w:val="00251815"/>
    <w:rsid w:val="002529C0"/>
    <w:rsid w:val="002544C2"/>
    <w:rsid w:val="00260F33"/>
    <w:rsid w:val="0027034C"/>
    <w:rsid w:val="002721E1"/>
    <w:rsid w:val="002729BA"/>
    <w:rsid w:val="00276921"/>
    <w:rsid w:val="002837C7"/>
    <w:rsid w:val="00287BF0"/>
    <w:rsid w:val="00291FB0"/>
    <w:rsid w:val="002930A0"/>
    <w:rsid w:val="00293DB2"/>
    <w:rsid w:val="002A2B4C"/>
    <w:rsid w:val="002A46B1"/>
    <w:rsid w:val="002B2D11"/>
    <w:rsid w:val="002B355F"/>
    <w:rsid w:val="002B36A7"/>
    <w:rsid w:val="002B500B"/>
    <w:rsid w:val="002C6E5B"/>
    <w:rsid w:val="002C75C1"/>
    <w:rsid w:val="002D29F9"/>
    <w:rsid w:val="002D5A13"/>
    <w:rsid w:val="002E5AC6"/>
    <w:rsid w:val="002E62D1"/>
    <w:rsid w:val="002F61CF"/>
    <w:rsid w:val="00301DDE"/>
    <w:rsid w:val="003058FA"/>
    <w:rsid w:val="003111C3"/>
    <w:rsid w:val="003119CB"/>
    <w:rsid w:val="00314CD8"/>
    <w:rsid w:val="003161C0"/>
    <w:rsid w:val="003163C5"/>
    <w:rsid w:val="00316F06"/>
    <w:rsid w:val="003330D6"/>
    <w:rsid w:val="00333744"/>
    <w:rsid w:val="0034007E"/>
    <w:rsid w:val="00341E53"/>
    <w:rsid w:val="00342B1A"/>
    <w:rsid w:val="003545C7"/>
    <w:rsid w:val="003573C8"/>
    <w:rsid w:val="003803F2"/>
    <w:rsid w:val="00381209"/>
    <w:rsid w:val="0038377D"/>
    <w:rsid w:val="00386EEC"/>
    <w:rsid w:val="00390C17"/>
    <w:rsid w:val="003930E1"/>
    <w:rsid w:val="003964FC"/>
    <w:rsid w:val="003A24F7"/>
    <w:rsid w:val="003A4F93"/>
    <w:rsid w:val="003A5158"/>
    <w:rsid w:val="003A7614"/>
    <w:rsid w:val="003B6B05"/>
    <w:rsid w:val="003C0BD8"/>
    <w:rsid w:val="003C38E4"/>
    <w:rsid w:val="003C40D7"/>
    <w:rsid w:val="003D1B5B"/>
    <w:rsid w:val="003E191A"/>
    <w:rsid w:val="003E4E64"/>
    <w:rsid w:val="003F26E9"/>
    <w:rsid w:val="00400BBE"/>
    <w:rsid w:val="004031EA"/>
    <w:rsid w:val="004129A3"/>
    <w:rsid w:val="004134CF"/>
    <w:rsid w:val="00413CE5"/>
    <w:rsid w:val="004148C2"/>
    <w:rsid w:val="00414B34"/>
    <w:rsid w:val="00414EE8"/>
    <w:rsid w:val="00416F74"/>
    <w:rsid w:val="004204ED"/>
    <w:rsid w:val="00423CC6"/>
    <w:rsid w:val="004244C7"/>
    <w:rsid w:val="00424F01"/>
    <w:rsid w:val="00440C67"/>
    <w:rsid w:val="00445510"/>
    <w:rsid w:val="004472DD"/>
    <w:rsid w:val="004524B9"/>
    <w:rsid w:val="004546DF"/>
    <w:rsid w:val="0045500E"/>
    <w:rsid w:val="00457544"/>
    <w:rsid w:val="004578C0"/>
    <w:rsid w:val="00457F0B"/>
    <w:rsid w:val="004607DC"/>
    <w:rsid w:val="00462379"/>
    <w:rsid w:val="004720C4"/>
    <w:rsid w:val="0047366B"/>
    <w:rsid w:val="00476200"/>
    <w:rsid w:val="00476C31"/>
    <w:rsid w:val="00484131"/>
    <w:rsid w:val="0048607F"/>
    <w:rsid w:val="00486ABA"/>
    <w:rsid w:val="00490223"/>
    <w:rsid w:val="00493588"/>
    <w:rsid w:val="004A1E6F"/>
    <w:rsid w:val="004A4188"/>
    <w:rsid w:val="004A4345"/>
    <w:rsid w:val="004A6188"/>
    <w:rsid w:val="004B6BEE"/>
    <w:rsid w:val="004C45B5"/>
    <w:rsid w:val="004D0059"/>
    <w:rsid w:val="004D0B46"/>
    <w:rsid w:val="004D6D37"/>
    <w:rsid w:val="004E247B"/>
    <w:rsid w:val="004E3BF2"/>
    <w:rsid w:val="004F3B3F"/>
    <w:rsid w:val="004F7550"/>
    <w:rsid w:val="0050764B"/>
    <w:rsid w:val="00516123"/>
    <w:rsid w:val="00517C4E"/>
    <w:rsid w:val="0052046D"/>
    <w:rsid w:val="0052262B"/>
    <w:rsid w:val="0053486E"/>
    <w:rsid w:val="00541D5D"/>
    <w:rsid w:val="005439EF"/>
    <w:rsid w:val="00550793"/>
    <w:rsid w:val="005517CE"/>
    <w:rsid w:val="00552442"/>
    <w:rsid w:val="005529B1"/>
    <w:rsid w:val="00552A0C"/>
    <w:rsid w:val="005558B2"/>
    <w:rsid w:val="00581FCC"/>
    <w:rsid w:val="00590C5C"/>
    <w:rsid w:val="005937EE"/>
    <w:rsid w:val="00594089"/>
    <w:rsid w:val="005A4F7F"/>
    <w:rsid w:val="005B0F56"/>
    <w:rsid w:val="005B2917"/>
    <w:rsid w:val="005B64C6"/>
    <w:rsid w:val="005C22C7"/>
    <w:rsid w:val="005C45D1"/>
    <w:rsid w:val="005D371B"/>
    <w:rsid w:val="005D5825"/>
    <w:rsid w:val="005E0127"/>
    <w:rsid w:val="005E0946"/>
    <w:rsid w:val="005E3447"/>
    <w:rsid w:val="005E54A0"/>
    <w:rsid w:val="005E79BF"/>
    <w:rsid w:val="005F097E"/>
    <w:rsid w:val="005F5CC8"/>
    <w:rsid w:val="00601801"/>
    <w:rsid w:val="00604FBB"/>
    <w:rsid w:val="00614C12"/>
    <w:rsid w:val="0062022F"/>
    <w:rsid w:val="00621D1C"/>
    <w:rsid w:val="00626061"/>
    <w:rsid w:val="00626E15"/>
    <w:rsid w:val="006272F7"/>
    <w:rsid w:val="00627838"/>
    <w:rsid w:val="006331F5"/>
    <w:rsid w:val="00633D23"/>
    <w:rsid w:val="0063513E"/>
    <w:rsid w:val="00635168"/>
    <w:rsid w:val="006367B7"/>
    <w:rsid w:val="00636DD4"/>
    <w:rsid w:val="00645EB1"/>
    <w:rsid w:val="00646835"/>
    <w:rsid w:val="00650941"/>
    <w:rsid w:val="0065252E"/>
    <w:rsid w:val="006525D3"/>
    <w:rsid w:val="0065669D"/>
    <w:rsid w:val="0065765F"/>
    <w:rsid w:val="00657AAB"/>
    <w:rsid w:val="00671181"/>
    <w:rsid w:val="00672385"/>
    <w:rsid w:val="0067329B"/>
    <w:rsid w:val="006808F8"/>
    <w:rsid w:val="00681FC8"/>
    <w:rsid w:val="00686145"/>
    <w:rsid w:val="00691FA2"/>
    <w:rsid w:val="00692D34"/>
    <w:rsid w:val="00693865"/>
    <w:rsid w:val="00696711"/>
    <w:rsid w:val="00696C7C"/>
    <w:rsid w:val="00697585"/>
    <w:rsid w:val="00697AF6"/>
    <w:rsid w:val="006B68FA"/>
    <w:rsid w:val="006B78AD"/>
    <w:rsid w:val="006B7E78"/>
    <w:rsid w:val="006C4E40"/>
    <w:rsid w:val="006D1229"/>
    <w:rsid w:val="006D1ED6"/>
    <w:rsid w:val="006E2E65"/>
    <w:rsid w:val="006E603F"/>
    <w:rsid w:val="006E7D8B"/>
    <w:rsid w:val="006F0088"/>
    <w:rsid w:val="006F01DF"/>
    <w:rsid w:val="006F7F40"/>
    <w:rsid w:val="00702124"/>
    <w:rsid w:val="00707D57"/>
    <w:rsid w:val="00707DAD"/>
    <w:rsid w:val="00713DD9"/>
    <w:rsid w:val="00717AEB"/>
    <w:rsid w:val="0072104E"/>
    <w:rsid w:val="00724137"/>
    <w:rsid w:val="00724F1E"/>
    <w:rsid w:val="00727385"/>
    <w:rsid w:val="00733857"/>
    <w:rsid w:val="00735457"/>
    <w:rsid w:val="00737219"/>
    <w:rsid w:val="00750070"/>
    <w:rsid w:val="0075428E"/>
    <w:rsid w:val="0075517F"/>
    <w:rsid w:val="00763218"/>
    <w:rsid w:val="00763B7A"/>
    <w:rsid w:val="0076564A"/>
    <w:rsid w:val="007667C1"/>
    <w:rsid w:val="007706B8"/>
    <w:rsid w:val="0077496F"/>
    <w:rsid w:val="00777EF5"/>
    <w:rsid w:val="00782F19"/>
    <w:rsid w:val="00786F91"/>
    <w:rsid w:val="00790A1B"/>
    <w:rsid w:val="00794CED"/>
    <w:rsid w:val="007A21BC"/>
    <w:rsid w:val="007A76B7"/>
    <w:rsid w:val="007B0681"/>
    <w:rsid w:val="007B07E3"/>
    <w:rsid w:val="007B3A12"/>
    <w:rsid w:val="007B6D8B"/>
    <w:rsid w:val="007C11DE"/>
    <w:rsid w:val="007C3618"/>
    <w:rsid w:val="007C3EE0"/>
    <w:rsid w:val="007C49AF"/>
    <w:rsid w:val="007D0CBA"/>
    <w:rsid w:val="007F4DB2"/>
    <w:rsid w:val="007F7FB4"/>
    <w:rsid w:val="00801CE1"/>
    <w:rsid w:val="00802704"/>
    <w:rsid w:val="00805426"/>
    <w:rsid w:val="0081054C"/>
    <w:rsid w:val="008134D6"/>
    <w:rsid w:val="008136F7"/>
    <w:rsid w:val="00814B98"/>
    <w:rsid w:val="00815127"/>
    <w:rsid w:val="008226DD"/>
    <w:rsid w:val="00823094"/>
    <w:rsid w:val="008248CF"/>
    <w:rsid w:val="00831E57"/>
    <w:rsid w:val="00833AA3"/>
    <w:rsid w:val="00854B1E"/>
    <w:rsid w:val="00855E15"/>
    <w:rsid w:val="00857AF1"/>
    <w:rsid w:val="00862E98"/>
    <w:rsid w:val="00875694"/>
    <w:rsid w:val="00880543"/>
    <w:rsid w:val="008811D7"/>
    <w:rsid w:val="00881681"/>
    <w:rsid w:val="0088238E"/>
    <w:rsid w:val="00882B5B"/>
    <w:rsid w:val="00884111"/>
    <w:rsid w:val="00892D0C"/>
    <w:rsid w:val="00895FE2"/>
    <w:rsid w:val="00896B4A"/>
    <w:rsid w:val="00896FDA"/>
    <w:rsid w:val="008A132C"/>
    <w:rsid w:val="008A66FA"/>
    <w:rsid w:val="008A7C73"/>
    <w:rsid w:val="008B5AB9"/>
    <w:rsid w:val="008B7695"/>
    <w:rsid w:val="008C3466"/>
    <w:rsid w:val="008C5A84"/>
    <w:rsid w:val="008D0911"/>
    <w:rsid w:val="008D7C64"/>
    <w:rsid w:val="008E065D"/>
    <w:rsid w:val="008F0DAF"/>
    <w:rsid w:val="008F3C98"/>
    <w:rsid w:val="008F5DDD"/>
    <w:rsid w:val="008F7A3F"/>
    <w:rsid w:val="00900803"/>
    <w:rsid w:val="00905F8D"/>
    <w:rsid w:val="00910F4C"/>
    <w:rsid w:val="00921CBC"/>
    <w:rsid w:val="0092345F"/>
    <w:rsid w:val="00927324"/>
    <w:rsid w:val="009416D9"/>
    <w:rsid w:val="00946768"/>
    <w:rsid w:val="00953157"/>
    <w:rsid w:val="009557E0"/>
    <w:rsid w:val="00957E06"/>
    <w:rsid w:val="009619EA"/>
    <w:rsid w:val="00961D16"/>
    <w:rsid w:val="009638E8"/>
    <w:rsid w:val="00963906"/>
    <w:rsid w:val="009706C6"/>
    <w:rsid w:val="00971E08"/>
    <w:rsid w:val="00971F6D"/>
    <w:rsid w:val="0097216F"/>
    <w:rsid w:val="00974A87"/>
    <w:rsid w:val="009773D7"/>
    <w:rsid w:val="009811C5"/>
    <w:rsid w:val="009866AF"/>
    <w:rsid w:val="00991C84"/>
    <w:rsid w:val="00993C95"/>
    <w:rsid w:val="009A0724"/>
    <w:rsid w:val="009A3620"/>
    <w:rsid w:val="009A72D1"/>
    <w:rsid w:val="009B0E4A"/>
    <w:rsid w:val="009D7CDE"/>
    <w:rsid w:val="009E14E5"/>
    <w:rsid w:val="009E6327"/>
    <w:rsid w:val="009E6FA7"/>
    <w:rsid w:val="009F2B09"/>
    <w:rsid w:val="009F404B"/>
    <w:rsid w:val="009F60D3"/>
    <w:rsid w:val="009F696D"/>
    <w:rsid w:val="00A00A61"/>
    <w:rsid w:val="00A06948"/>
    <w:rsid w:val="00A10F8B"/>
    <w:rsid w:val="00A11FE2"/>
    <w:rsid w:val="00A11FE4"/>
    <w:rsid w:val="00A2195B"/>
    <w:rsid w:val="00A21F79"/>
    <w:rsid w:val="00A27DBB"/>
    <w:rsid w:val="00A32157"/>
    <w:rsid w:val="00A36860"/>
    <w:rsid w:val="00A43BD1"/>
    <w:rsid w:val="00A45007"/>
    <w:rsid w:val="00A46A0D"/>
    <w:rsid w:val="00A51533"/>
    <w:rsid w:val="00A51DC2"/>
    <w:rsid w:val="00A5301E"/>
    <w:rsid w:val="00A535B6"/>
    <w:rsid w:val="00A609B4"/>
    <w:rsid w:val="00A70D29"/>
    <w:rsid w:val="00A72F99"/>
    <w:rsid w:val="00A73B60"/>
    <w:rsid w:val="00A74831"/>
    <w:rsid w:val="00A762AC"/>
    <w:rsid w:val="00A81BBA"/>
    <w:rsid w:val="00A87F5A"/>
    <w:rsid w:val="00A92C69"/>
    <w:rsid w:val="00A933C5"/>
    <w:rsid w:val="00A96657"/>
    <w:rsid w:val="00A97ECF"/>
    <w:rsid w:val="00AA0E53"/>
    <w:rsid w:val="00AB089E"/>
    <w:rsid w:val="00AB5645"/>
    <w:rsid w:val="00AC132B"/>
    <w:rsid w:val="00AC5281"/>
    <w:rsid w:val="00AC5823"/>
    <w:rsid w:val="00AC6105"/>
    <w:rsid w:val="00AC7EB3"/>
    <w:rsid w:val="00AE5132"/>
    <w:rsid w:val="00AF186F"/>
    <w:rsid w:val="00AF7856"/>
    <w:rsid w:val="00B11E50"/>
    <w:rsid w:val="00B1360D"/>
    <w:rsid w:val="00B14869"/>
    <w:rsid w:val="00B206DC"/>
    <w:rsid w:val="00B2094F"/>
    <w:rsid w:val="00B279DD"/>
    <w:rsid w:val="00B3041E"/>
    <w:rsid w:val="00B325C8"/>
    <w:rsid w:val="00B32805"/>
    <w:rsid w:val="00B351A8"/>
    <w:rsid w:val="00B40188"/>
    <w:rsid w:val="00B46AA7"/>
    <w:rsid w:val="00B47429"/>
    <w:rsid w:val="00B528C1"/>
    <w:rsid w:val="00B53E14"/>
    <w:rsid w:val="00B604D0"/>
    <w:rsid w:val="00B62F82"/>
    <w:rsid w:val="00B63B61"/>
    <w:rsid w:val="00B7040C"/>
    <w:rsid w:val="00B7457E"/>
    <w:rsid w:val="00B8361E"/>
    <w:rsid w:val="00B83774"/>
    <w:rsid w:val="00B85203"/>
    <w:rsid w:val="00B96993"/>
    <w:rsid w:val="00BB2F0D"/>
    <w:rsid w:val="00BB780D"/>
    <w:rsid w:val="00BD274A"/>
    <w:rsid w:val="00BD3B09"/>
    <w:rsid w:val="00BD5167"/>
    <w:rsid w:val="00BD56BA"/>
    <w:rsid w:val="00BD5A22"/>
    <w:rsid w:val="00BE37F0"/>
    <w:rsid w:val="00BE610D"/>
    <w:rsid w:val="00BF4C45"/>
    <w:rsid w:val="00BF64E4"/>
    <w:rsid w:val="00BF798E"/>
    <w:rsid w:val="00C0087E"/>
    <w:rsid w:val="00C1077B"/>
    <w:rsid w:val="00C11448"/>
    <w:rsid w:val="00C13B87"/>
    <w:rsid w:val="00C16F59"/>
    <w:rsid w:val="00C2336B"/>
    <w:rsid w:val="00C2654D"/>
    <w:rsid w:val="00C26D38"/>
    <w:rsid w:val="00C2792F"/>
    <w:rsid w:val="00C339B5"/>
    <w:rsid w:val="00C43248"/>
    <w:rsid w:val="00C502F0"/>
    <w:rsid w:val="00C60D78"/>
    <w:rsid w:val="00C63BBB"/>
    <w:rsid w:val="00C7375C"/>
    <w:rsid w:val="00C82CE1"/>
    <w:rsid w:val="00CA0FB2"/>
    <w:rsid w:val="00CA2A26"/>
    <w:rsid w:val="00CA7339"/>
    <w:rsid w:val="00CB082E"/>
    <w:rsid w:val="00CB46F0"/>
    <w:rsid w:val="00CC2A1B"/>
    <w:rsid w:val="00CC3844"/>
    <w:rsid w:val="00CC4267"/>
    <w:rsid w:val="00CC4306"/>
    <w:rsid w:val="00CC68E4"/>
    <w:rsid w:val="00CD22C3"/>
    <w:rsid w:val="00CD6AAB"/>
    <w:rsid w:val="00CF1BEC"/>
    <w:rsid w:val="00CF47A4"/>
    <w:rsid w:val="00CF7500"/>
    <w:rsid w:val="00D07A6A"/>
    <w:rsid w:val="00D10CC1"/>
    <w:rsid w:val="00D15B1C"/>
    <w:rsid w:val="00D1675B"/>
    <w:rsid w:val="00D171F2"/>
    <w:rsid w:val="00D23391"/>
    <w:rsid w:val="00D314CE"/>
    <w:rsid w:val="00D326D7"/>
    <w:rsid w:val="00D33938"/>
    <w:rsid w:val="00D36B1D"/>
    <w:rsid w:val="00D44EF4"/>
    <w:rsid w:val="00D4650F"/>
    <w:rsid w:val="00D5749E"/>
    <w:rsid w:val="00D62468"/>
    <w:rsid w:val="00D627F8"/>
    <w:rsid w:val="00D62AA6"/>
    <w:rsid w:val="00D634E5"/>
    <w:rsid w:val="00D65F83"/>
    <w:rsid w:val="00D66932"/>
    <w:rsid w:val="00D67C23"/>
    <w:rsid w:val="00D70BE9"/>
    <w:rsid w:val="00D74916"/>
    <w:rsid w:val="00D80D12"/>
    <w:rsid w:val="00DA0CEB"/>
    <w:rsid w:val="00DA2B42"/>
    <w:rsid w:val="00DA3636"/>
    <w:rsid w:val="00DA697E"/>
    <w:rsid w:val="00DB1A53"/>
    <w:rsid w:val="00DB492A"/>
    <w:rsid w:val="00DB54DD"/>
    <w:rsid w:val="00DB5A7C"/>
    <w:rsid w:val="00DC5C5B"/>
    <w:rsid w:val="00DC5FE1"/>
    <w:rsid w:val="00DC6EA9"/>
    <w:rsid w:val="00DD4ECE"/>
    <w:rsid w:val="00DE402E"/>
    <w:rsid w:val="00DE61D4"/>
    <w:rsid w:val="00DF5187"/>
    <w:rsid w:val="00DF5B09"/>
    <w:rsid w:val="00DF6C93"/>
    <w:rsid w:val="00E0010F"/>
    <w:rsid w:val="00E2563F"/>
    <w:rsid w:val="00E30B48"/>
    <w:rsid w:val="00E36D2C"/>
    <w:rsid w:val="00E4419E"/>
    <w:rsid w:val="00E53131"/>
    <w:rsid w:val="00E54AD0"/>
    <w:rsid w:val="00E559C9"/>
    <w:rsid w:val="00E55A0C"/>
    <w:rsid w:val="00E61D91"/>
    <w:rsid w:val="00E6606F"/>
    <w:rsid w:val="00E70751"/>
    <w:rsid w:val="00E7253B"/>
    <w:rsid w:val="00E760C0"/>
    <w:rsid w:val="00E81261"/>
    <w:rsid w:val="00E841C4"/>
    <w:rsid w:val="00E85107"/>
    <w:rsid w:val="00E87266"/>
    <w:rsid w:val="00E96CEF"/>
    <w:rsid w:val="00EA2774"/>
    <w:rsid w:val="00EA7DA0"/>
    <w:rsid w:val="00EB0222"/>
    <w:rsid w:val="00EB23D5"/>
    <w:rsid w:val="00EC1C0C"/>
    <w:rsid w:val="00EC2433"/>
    <w:rsid w:val="00EC4440"/>
    <w:rsid w:val="00EC6010"/>
    <w:rsid w:val="00EC6B2C"/>
    <w:rsid w:val="00EC702F"/>
    <w:rsid w:val="00ED383A"/>
    <w:rsid w:val="00ED572A"/>
    <w:rsid w:val="00ED643A"/>
    <w:rsid w:val="00EE09AC"/>
    <w:rsid w:val="00EE508A"/>
    <w:rsid w:val="00EF4E4D"/>
    <w:rsid w:val="00EF5449"/>
    <w:rsid w:val="00EF679E"/>
    <w:rsid w:val="00EF718D"/>
    <w:rsid w:val="00F06840"/>
    <w:rsid w:val="00F10891"/>
    <w:rsid w:val="00F13A8E"/>
    <w:rsid w:val="00F200DD"/>
    <w:rsid w:val="00F218E3"/>
    <w:rsid w:val="00F22DFF"/>
    <w:rsid w:val="00F23733"/>
    <w:rsid w:val="00F23D5B"/>
    <w:rsid w:val="00F2436B"/>
    <w:rsid w:val="00F34246"/>
    <w:rsid w:val="00F36543"/>
    <w:rsid w:val="00F4303E"/>
    <w:rsid w:val="00F45899"/>
    <w:rsid w:val="00F46EB8"/>
    <w:rsid w:val="00F4715A"/>
    <w:rsid w:val="00F47161"/>
    <w:rsid w:val="00F5360A"/>
    <w:rsid w:val="00F53BB4"/>
    <w:rsid w:val="00F56F4D"/>
    <w:rsid w:val="00F57738"/>
    <w:rsid w:val="00F61100"/>
    <w:rsid w:val="00F6131D"/>
    <w:rsid w:val="00F66B92"/>
    <w:rsid w:val="00F72D1B"/>
    <w:rsid w:val="00F74CF2"/>
    <w:rsid w:val="00F76A9E"/>
    <w:rsid w:val="00F86DE7"/>
    <w:rsid w:val="00F97ECA"/>
    <w:rsid w:val="00FA0D0E"/>
    <w:rsid w:val="00FA1615"/>
    <w:rsid w:val="00FC24ED"/>
    <w:rsid w:val="00FD19E9"/>
    <w:rsid w:val="00FD2A6F"/>
    <w:rsid w:val="00FD3376"/>
    <w:rsid w:val="00FD411E"/>
    <w:rsid w:val="00FD443B"/>
    <w:rsid w:val="00FD4981"/>
    <w:rsid w:val="00FD582E"/>
    <w:rsid w:val="00FD5EAE"/>
    <w:rsid w:val="00FE388D"/>
    <w:rsid w:val="00FE4BDD"/>
    <w:rsid w:val="00FE7E46"/>
    <w:rsid w:val="00FF041C"/>
    <w:rsid w:val="00FF0E65"/>
    <w:rsid w:val="00FF2BC8"/>
    <w:rsid w:val="00FF3571"/>
    <w:rsid w:val="00FF63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479DA"/>
  <w15:chartTrackingRefBased/>
  <w15:docId w15:val="{E531EB68-E439-43D1-AFD3-430B1A8D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EDD"/>
    <w:pPr>
      <w:bidi/>
      <w:spacing w:after="120"/>
    </w:pPr>
    <w:rPr>
      <w:rFonts w:ascii="David" w:eastAsia="Calibri" w:hAnsi="David" w:cs="David"/>
      <w:color w:val="000000"/>
      <w:kern w:val="0"/>
      <w14:ligatures w14:val="none"/>
    </w:rPr>
  </w:style>
  <w:style w:type="paragraph" w:styleId="Heading1">
    <w:name w:val="heading 1"/>
    <w:basedOn w:val="a"/>
    <w:next w:val="Normal"/>
    <w:link w:val="Heading1Char"/>
    <w:uiPriority w:val="9"/>
    <w:qFormat/>
    <w:rsid w:val="00081FC8"/>
    <w:pPr>
      <w:numPr>
        <w:numId w:val="6"/>
      </w:numPr>
      <w:outlineLvl w:val="0"/>
    </w:pPr>
    <w:rPr>
      <w:b/>
      <w:bCs/>
      <w:sz w:val="28"/>
      <w:szCs w:val="28"/>
    </w:rPr>
  </w:style>
  <w:style w:type="paragraph" w:styleId="Heading2">
    <w:name w:val="heading 2"/>
    <w:basedOn w:val="Heading1"/>
    <w:next w:val="Normal"/>
    <w:link w:val="Heading2Char"/>
    <w:uiPriority w:val="9"/>
    <w:unhideWhenUsed/>
    <w:qFormat/>
    <w:rsid w:val="00081FC8"/>
    <w:pPr>
      <w:numPr>
        <w:ilvl w:val="1"/>
      </w:numPr>
      <w:outlineLvl w:val="1"/>
    </w:pPr>
    <w:rPr>
      <w:sz w:val="24"/>
      <w:szCs w:val="24"/>
    </w:rPr>
  </w:style>
  <w:style w:type="paragraph" w:styleId="Heading5">
    <w:name w:val="heading 5"/>
    <w:basedOn w:val="Normal"/>
    <w:next w:val="Normal"/>
    <w:link w:val="Heading5Char"/>
    <w:uiPriority w:val="9"/>
    <w:semiHidden/>
    <w:unhideWhenUsed/>
    <w:qFormat/>
    <w:rsid w:val="00342B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24E"/>
    <w:pPr>
      <w:tabs>
        <w:tab w:val="center" w:pos="4680"/>
        <w:tab w:val="right" w:pos="9360"/>
      </w:tabs>
    </w:pPr>
  </w:style>
  <w:style w:type="character" w:customStyle="1" w:styleId="HeaderChar">
    <w:name w:val="Header Char"/>
    <w:basedOn w:val="DefaultParagraphFont"/>
    <w:link w:val="Header"/>
    <w:uiPriority w:val="99"/>
    <w:rsid w:val="0025124E"/>
  </w:style>
  <w:style w:type="paragraph" w:styleId="Footer">
    <w:name w:val="footer"/>
    <w:basedOn w:val="Normal"/>
    <w:link w:val="FooterChar"/>
    <w:uiPriority w:val="99"/>
    <w:unhideWhenUsed/>
    <w:rsid w:val="0025124E"/>
    <w:pPr>
      <w:tabs>
        <w:tab w:val="center" w:pos="4680"/>
        <w:tab w:val="right" w:pos="9360"/>
      </w:tabs>
    </w:pPr>
  </w:style>
  <w:style w:type="character" w:customStyle="1" w:styleId="FooterChar">
    <w:name w:val="Footer Char"/>
    <w:basedOn w:val="DefaultParagraphFont"/>
    <w:link w:val="Footer"/>
    <w:uiPriority w:val="99"/>
    <w:rsid w:val="0025124E"/>
  </w:style>
  <w:style w:type="character" w:styleId="PageNumber">
    <w:name w:val="page number"/>
    <w:basedOn w:val="DefaultParagraphFont"/>
    <w:uiPriority w:val="99"/>
    <w:semiHidden/>
    <w:unhideWhenUsed/>
    <w:rsid w:val="003F26E9"/>
  </w:style>
  <w:style w:type="table" w:styleId="TableGrid">
    <w:name w:val="Table Grid"/>
    <w:basedOn w:val="TableNormal"/>
    <w:uiPriority w:val="39"/>
    <w:rsid w:val="00C26D38"/>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D38"/>
    <w:pPr>
      <w:spacing w:after="0" w:line="360" w:lineRule="auto"/>
      <w:ind w:left="720"/>
      <w:contextualSpacing/>
    </w:pPr>
    <w:rPr>
      <w:rFonts w:ascii="Times New Roman" w:eastAsia="Times New Roman" w:hAnsi="Times New Roman"/>
    </w:rPr>
  </w:style>
  <w:style w:type="paragraph" w:customStyle="1" w:styleId="a0">
    <w:name w:val="קרן"/>
    <w:basedOn w:val="Normal"/>
    <w:rsid w:val="00C26D38"/>
    <w:pPr>
      <w:spacing w:after="0" w:line="360" w:lineRule="auto"/>
      <w:jc w:val="both"/>
    </w:pPr>
    <w:rPr>
      <w:rFonts w:cs="Times New Roman"/>
    </w:rPr>
  </w:style>
  <w:style w:type="paragraph" w:styleId="Revision">
    <w:name w:val="Revision"/>
    <w:hidden/>
    <w:uiPriority w:val="99"/>
    <w:semiHidden/>
    <w:rsid w:val="00550793"/>
    <w:rPr>
      <w:rFonts w:ascii="Calibri" w:eastAsia="Calibri" w:hAnsi="Calibri" w:cs="Arial"/>
      <w:kern w:val="0"/>
      <w:sz w:val="22"/>
      <w:szCs w:val="22"/>
      <w14:ligatures w14:val="none"/>
    </w:rPr>
  </w:style>
  <w:style w:type="paragraph" w:styleId="NoSpacing">
    <w:name w:val="No Spacing"/>
    <w:aliases w:val="נספח"/>
    <w:basedOn w:val="a"/>
    <w:uiPriority w:val="1"/>
    <w:qFormat/>
    <w:rsid w:val="007F7FB4"/>
    <w:pPr>
      <w:numPr>
        <w:numId w:val="0"/>
      </w:numPr>
    </w:pPr>
    <w:rPr>
      <w:b/>
      <w:bCs/>
    </w:rPr>
  </w:style>
  <w:style w:type="paragraph" w:customStyle="1" w:styleId="a">
    <w:name w:val="פסקה ממוספרת"/>
    <w:basedOn w:val="ListParagraph"/>
    <w:qFormat/>
    <w:rsid w:val="00260F33"/>
    <w:pPr>
      <w:numPr>
        <w:numId w:val="4"/>
      </w:numPr>
      <w:jc w:val="both"/>
    </w:pPr>
  </w:style>
  <w:style w:type="paragraph" w:styleId="Quote">
    <w:name w:val="Quote"/>
    <w:basedOn w:val="Normal"/>
    <w:next w:val="Normal"/>
    <w:link w:val="QuoteChar"/>
    <w:uiPriority w:val="29"/>
    <w:qFormat/>
    <w:rsid w:val="009416D9"/>
    <w:pPr>
      <w:spacing w:before="200" w:after="160" w:line="360" w:lineRule="auto"/>
      <w:ind w:left="907" w:right="907"/>
      <w:jc w:val="both"/>
    </w:pPr>
    <w:rPr>
      <w:color w:val="auto"/>
    </w:rPr>
  </w:style>
  <w:style w:type="character" w:customStyle="1" w:styleId="QuoteChar">
    <w:name w:val="Quote Char"/>
    <w:basedOn w:val="DefaultParagraphFont"/>
    <w:link w:val="Quote"/>
    <w:uiPriority w:val="29"/>
    <w:rsid w:val="009416D9"/>
    <w:rPr>
      <w:rFonts w:ascii="David" w:eastAsia="Calibri" w:hAnsi="David" w:cs="David"/>
      <w:kern w:val="0"/>
      <w14:ligatures w14:val="none"/>
    </w:rPr>
  </w:style>
  <w:style w:type="character" w:styleId="CommentReference">
    <w:name w:val="annotation reference"/>
    <w:basedOn w:val="DefaultParagraphFont"/>
    <w:uiPriority w:val="99"/>
    <w:semiHidden/>
    <w:unhideWhenUsed/>
    <w:rsid w:val="00A96657"/>
    <w:rPr>
      <w:sz w:val="16"/>
      <w:szCs w:val="16"/>
    </w:rPr>
  </w:style>
  <w:style w:type="paragraph" w:styleId="CommentText">
    <w:name w:val="annotation text"/>
    <w:basedOn w:val="Normal"/>
    <w:link w:val="CommentTextChar"/>
    <w:uiPriority w:val="99"/>
    <w:unhideWhenUsed/>
    <w:rsid w:val="00A96657"/>
    <w:rPr>
      <w:sz w:val="20"/>
      <w:szCs w:val="20"/>
    </w:rPr>
  </w:style>
  <w:style w:type="character" w:customStyle="1" w:styleId="CommentTextChar">
    <w:name w:val="Comment Text Char"/>
    <w:basedOn w:val="DefaultParagraphFont"/>
    <w:link w:val="CommentText"/>
    <w:uiPriority w:val="99"/>
    <w:rsid w:val="00A96657"/>
    <w:rPr>
      <w:rFonts w:ascii="David" w:eastAsia="Calibri" w:hAnsi="David" w:cs="David"/>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96657"/>
    <w:rPr>
      <w:b/>
      <w:bCs/>
    </w:rPr>
  </w:style>
  <w:style w:type="character" w:customStyle="1" w:styleId="CommentSubjectChar">
    <w:name w:val="Comment Subject Char"/>
    <w:basedOn w:val="CommentTextChar"/>
    <w:link w:val="CommentSubject"/>
    <w:uiPriority w:val="99"/>
    <w:semiHidden/>
    <w:rsid w:val="00A96657"/>
    <w:rPr>
      <w:rFonts w:ascii="David" w:eastAsia="Calibri" w:hAnsi="David" w:cs="David"/>
      <w:b/>
      <w:bCs/>
      <w:color w:val="000000"/>
      <w:kern w:val="0"/>
      <w:sz w:val="20"/>
      <w:szCs w:val="20"/>
      <w14:ligatures w14:val="none"/>
    </w:rPr>
  </w:style>
  <w:style w:type="character" w:customStyle="1" w:styleId="Heading1Char">
    <w:name w:val="Heading 1 Char"/>
    <w:basedOn w:val="DefaultParagraphFont"/>
    <w:link w:val="Heading1"/>
    <w:uiPriority w:val="9"/>
    <w:rsid w:val="00081FC8"/>
    <w:rPr>
      <w:rFonts w:ascii="Times New Roman" w:eastAsia="Times New Roman" w:hAnsi="Times New Roman" w:cs="David"/>
      <w:b/>
      <w:bCs/>
      <w:color w:val="000000"/>
      <w:kern w:val="0"/>
      <w:sz w:val="28"/>
      <w:szCs w:val="28"/>
      <w14:ligatures w14:val="none"/>
    </w:rPr>
  </w:style>
  <w:style w:type="paragraph" w:styleId="FootnoteText">
    <w:name w:val="footnote text"/>
    <w:basedOn w:val="Normal"/>
    <w:link w:val="FootnoteTextChar"/>
    <w:unhideWhenUsed/>
    <w:rsid w:val="00DC5C5B"/>
    <w:pPr>
      <w:spacing w:after="0"/>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rsid w:val="00DC5C5B"/>
    <w:rPr>
      <w:rFonts w:ascii="Times New Roman" w:eastAsia="Times New Roman" w:hAnsi="Times New Roman" w:cs="David"/>
      <w:kern w:val="0"/>
      <w:sz w:val="20"/>
      <w:szCs w:val="20"/>
      <w14:ligatures w14:val="none"/>
    </w:rPr>
  </w:style>
  <w:style w:type="character" w:styleId="FootnoteReference">
    <w:name w:val="footnote reference"/>
    <w:unhideWhenUsed/>
    <w:rsid w:val="00DC5C5B"/>
    <w:rPr>
      <w:vertAlign w:val="superscript"/>
    </w:rPr>
  </w:style>
  <w:style w:type="character" w:customStyle="1" w:styleId="Heading2Char">
    <w:name w:val="Heading 2 Char"/>
    <w:basedOn w:val="DefaultParagraphFont"/>
    <w:link w:val="Heading2"/>
    <w:uiPriority w:val="9"/>
    <w:rsid w:val="00081FC8"/>
    <w:rPr>
      <w:rFonts w:ascii="Times New Roman" w:eastAsia="Times New Roman" w:hAnsi="Times New Roman" w:cs="David"/>
      <w:b/>
      <w:bCs/>
      <w:color w:val="000000"/>
      <w:kern w:val="0"/>
      <w14:ligatures w14:val="none"/>
    </w:rPr>
  </w:style>
  <w:style w:type="character" w:customStyle="1" w:styleId="Heading5Char">
    <w:name w:val="Heading 5 Char"/>
    <w:basedOn w:val="DefaultParagraphFont"/>
    <w:link w:val="Heading5"/>
    <w:uiPriority w:val="9"/>
    <w:semiHidden/>
    <w:rsid w:val="00342B1A"/>
    <w:rPr>
      <w:rFonts w:asciiTheme="majorHAnsi" w:eastAsiaTheme="majorEastAsia" w:hAnsiTheme="majorHAnsi" w:cstheme="majorBidi"/>
      <w:color w:val="2F5496" w:themeColor="accent1" w:themeShade="BF"/>
      <w:kern w:val="0"/>
      <w14:ligatures w14:val="none"/>
    </w:rPr>
  </w:style>
  <w:style w:type="character" w:styleId="Hyperlink">
    <w:name w:val="Hyperlink"/>
    <w:basedOn w:val="DefaultParagraphFont"/>
    <w:uiPriority w:val="99"/>
    <w:unhideWhenUsed/>
    <w:rsid w:val="00CC4267"/>
    <w:rPr>
      <w:color w:val="0563C1" w:themeColor="hyperlink"/>
      <w:u w:val="single"/>
    </w:rPr>
  </w:style>
  <w:style w:type="character" w:styleId="UnresolvedMention">
    <w:name w:val="Unresolved Mention"/>
    <w:basedOn w:val="DefaultParagraphFont"/>
    <w:uiPriority w:val="99"/>
    <w:semiHidden/>
    <w:unhideWhenUsed/>
    <w:rsid w:val="00CC4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6546">
      <w:bodyDiv w:val="1"/>
      <w:marLeft w:val="0"/>
      <w:marRight w:val="0"/>
      <w:marTop w:val="0"/>
      <w:marBottom w:val="0"/>
      <w:divBdr>
        <w:top w:val="none" w:sz="0" w:space="0" w:color="auto"/>
        <w:left w:val="none" w:sz="0" w:space="0" w:color="auto"/>
        <w:bottom w:val="none" w:sz="0" w:space="0" w:color="auto"/>
        <w:right w:val="none" w:sz="0" w:space="0" w:color="auto"/>
      </w:divBdr>
    </w:div>
    <w:div w:id="413013130">
      <w:bodyDiv w:val="1"/>
      <w:marLeft w:val="0"/>
      <w:marRight w:val="0"/>
      <w:marTop w:val="0"/>
      <w:marBottom w:val="0"/>
      <w:divBdr>
        <w:top w:val="none" w:sz="0" w:space="0" w:color="auto"/>
        <w:left w:val="none" w:sz="0" w:space="0" w:color="auto"/>
        <w:bottom w:val="none" w:sz="0" w:space="0" w:color="auto"/>
        <w:right w:val="none" w:sz="0" w:space="0" w:color="auto"/>
      </w:divBdr>
    </w:div>
    <w:div w:id="762145997">
      <w:bodyDiv w:val="1"/>
      <w:marLeft w:val="0"/>
      <w:marRight w:val="0"/>
      <w:marTop w:val="0"/>
      <w:marBottom w:val="0"/>
      <w:divBdr>
        <w:top w:val="none" w:sz="0" w:space="0" w:color="auto"/>
        <w:left w:val="none" w:sz="0" w:space="0" w:color="auto"/>
        <w:bottom w:val="none" w:sz="0" w:space="0" w:color="auto"/>
        <w:right w:val="none" w:sz="0" w:space="0" w:color="auto"/>
      </w:divBdr>
    </w:div>
    <w:div w:id="873276792">
      <w:bodyDiv w:val="1"/>
      <w:marLeft w:val="0"/>
      <w:marRight w:val="0"/>
      <w:marTop w:val="0"/>
      <w:marBottom w:val="0"/>
      <w:divBdr>
        <w:top w:val="none" w:sz="0" w:space="0" w:color="auto"/>
        <w:left w:val="none" w:sz="0" w:space="0" w:color="auto"/>
        <w:bottom w:val="none" w:sz="0" w:space="0" w:color="auto"/>
        <w:right w:val="none" w:sz="0" w:space="0" w:color="auto"/>
      </w:divBdr>
    </w:div>
    <w:div w:id="1184246810">
      <w:bodyDiv w:val="1"/>
      <w:marLeft w:val="0"/>
      <w:marRight w:val="0"/>
      <w:marTop w:val="0"/>
      <w:marBottom w:val="0"/>
      <w:divBdr>
        <w:top w:val="none" w:sz="0" w:space="0" w:color="auto"/>
        <w:left w:val="none" w:sz="0" w:space="0" w:color="auto"/>
        <w:bottom w:val="none" w:sz="0" w:space="0" w:color="auto"/>
        <w:right w:val="none" w:sz="0" w:space="0" w:color="auto"/>
      </w:divBdr>
    </w:div>
    <w:div w:id="127336478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www.idi.org.il/media/30772/behind-the-scenes-of-the-2026-budget-transparency-politics-and-the-limits-of-parliamentary-oversigh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BAD6D-345D-438C-B020-7E49BB45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1105</Words>
  <Characters>5529</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Liron Yovel</dc:creator>
  <cp:keywords/>
  <dc:description/>
  <cp:lastModifiedBy>עו"ד ז'קלין ברכה | Jacqueline Bracha, Adv.</cp:lastModifiedBy>
  <cp:revision>2</cp:revision>
  <cp:lastPrinted>2026-03-13T03:42:00Z</cp:lastPrinted>
  <dcterms:created xsi:type="dcterms:W3CDTF">2026-07-20T07:12:00Z</dcterms:created>
  <dcterms:modified xsi:type="dcterms:W3CDTF">2026-07-20T07:12:00Z</dcterms:modified>
</cp:coreProperties>
</file>